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A" w:rsidRDefault="00F9726A" w:rsidP="00F97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>69. ¿Desglosa los montos destinados a subsidios o ayudas sociales?</w:t>
      </w: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El Presupuesto de Egresos autorizado para el Ejercicio Fiscal 2017 cuenta con el desglose de los montos destinados a subsidios o ayudas sociales, los cual puede consultarse directamente en</w:t>
      </w:r>
    </w:p>
    <w:p w:rsidR="00F9726A" w:rsidRDefault="00F9726A" w:rsidP="00F9726A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hyperlink r:id="rId6" w:history="1">
        <w:r w:rsidRPr="00D33E2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http://tonala.gob.mx/portal/wp-content/uploads/2017/01/04-Egresos-Fuente-de-Financiamiento.pdf</w:t>
        </w:r>
      </w:hyperlink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C71B91">
        <w:rPr>
          <w:rFonts w:ascii="Arial" w:eastAsiaTheme="minorHAnsi" w:hAnsi="Arial" w:cs="Arial"/>
          <w:bCs/>
          <w:color w:val="000000"/>
          <w:lang w:val="es-MX" w:eastAsia="en-US"/>
        </w:rPr>
        <w:t>O a través de la siguiente</w:t>
      </w: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 xml:space="preserve"> ruta de acceso</w:t>
      </w:r>
      <w:r w:rsidRPr="004B1F38">
        <w:rPr>
          <w:rFonts w:ascii="Arial" w:eastAsiaTheme="minorHAnsi" w:hAnsi="Arial" w:cs="Arial"/>
          <w:bCs/>
          <w:color w:val="000000"/>
          <w:lang w:val="es-MX" w:eastAsia="en-US"/>
        </w:rPr>
        <w:t xml:space="preserve">: </w:t>
      </w:r>
      <w:hyperlink r:id="rId7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Apartado de Transparencia- Información Fundamental- Articulo 8- Numeral 1 Fracción V- Inciso C- Presupuesto Municipal 2017- Egresos Fuentes de Financiamiento</w:t>
      </w: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1A5A41">
        <w:rPr>
          <w:rFonts w:ascii="Arial" w:eastAsiaTheme="minorHAnsi" w:hAnsi="Arial" w:cs="Arial"/>
          <w:noProof/>
          <w:lang w:val="es-MX"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206" o:spid="_x0000_s1026" type="#_x0000_t13" style="position:absolute;left:0;text-align:left;margin-left:-22.8pt;margin-top:283.9pt;width:54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" adj="18750" fillcolor="#00b050" strokecolor="windowText" strokeweight="2pt"/>
        </w:pict>
      </w:r>
      <w:r>
        <w:rPr>
          <w:rFonts w:ascii="Arial" w:eastAsiaTheme="minorHAnsi" w:hAnsi="Arial" w:cs="Arial"/>
          <w:noProof/>
          <w:lang w:val="es-MX" w:eastAsia="es-MX"/>
        </w:rPr>
        <w:drawing>
          <wp:inline distT="0" distB="0" distL="0" distR="0">
            <wp:extent cx="6115050" cy="4124325"/>
            <wp:effectExtent l="0" t="0" r="0" b="9525"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1A5A41">
        <w:rPr>
          <w:rFonts w:ascii="Arial" w:eastAsiaTheme="minorHAnsi" w:hAnsi="Arial" w:cs="Arial"/>
          <w:noProof/>
          <w:lang w:val="es-MX" w:eastAsia="es-MX"/>
        </w:rPr>
        <w:pict>
          <v:shape id="Flecha derecha 208" o:spid="_x0000_s1027" type="#_x0000_t13" style="position:absolute;left:0;text-align:left;margin-left:-46.5pt;margin-top:193.3pt;width:54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" adj="18750" fillcolor="#00b050" strokecolor="windowText" strokeweight="2pt"/>
        </w:pict>
      </w:r>
      <w:r>
        <w:rPr>
          <w:rFonts w:ascii="Arial" w:eastAsiaTheme="minorHAnsi" w:hAnsi="Arial" w:cs="Arial"/>
          <w:b/>
          <w:bCs/>
          <w:noProof/>
          <w:lang w:val="es-MX" w:eastAsia="es-MX"/>
        </w:rPr>
        <w:drawing>
          <wp:inline distT="0" distB="0" distL="0" distR="0">
            <wp:extent cx="6115050" cy="4171950"/>
            <wp:effectExtent l="1905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tbl>
      <w:tblPr>
        <w:tblW w:w="103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6"/>
        <w:gridCol w:w="1772"/>
        <w:gridCol w:w="809"/>
        <w:gridCol w:w="1202"/>
        <w:gridCol w:w="898"/>
        <w:gridCol w:w="1073"/>
        <w:gridCol w:w="952"/>
        <w:gridCol w:w="833"/>
        <w:gridCol w:w="1202"/>
        <w:gridCol w:w="1024"/>
      </w:tblGrid>
      <w:tr w:rsidR="00F9726A" w:rsidRPr="003A36F0" w:rsidTr="00AF2B8D">
        <w:trPr>
          <w:trHeight w:val="485"/>
        </w:trPr>
        <w:tc>
          <w:tcPr>
            <w:tcW w:w="103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Presupuesto de Egresos por Clasificación por Objeto del Gasto y Fuentes de Financiamiento - 2017</w:t>
            </w:r>
          </w:p>
        </w:tc>
      </w:tr>
      <w:tr w:rsidR="00F9726A" w:rsidRPr="003A36F0" w:rsidTr="00AF2B8D">
        <w:trPr>
          <w:trHeight w:val="323"/>
        </w:trPr>
        <w:tc>
          <w:tcPr>
            <w:tcW w:w="231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Municipio:  Tonalá, Jalisco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6A" w:rsidRPr="003A36F0" w:rsidRDefault="00F9726A" w:rsidP="00AF2B8D">
            <w:pPr>
              <w:rPr>
                <w:lang w:val="es-MX"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6A" w:rsidRPr="003A36F0" w:rsidRDefault="00F9726A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6A" w:rsidRPr="003A36F0" w:rsidRDefault="00F9726A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6A" w:rsidRPr="003A36F0" w:rsidRDefault="00F9726A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6A" w:rsidRPr="003A36F0" w:rsidRDefault="00F9726A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6A" w:rsidRPr="003A36F0" w:rsidRDefault="00F9726A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6A" w:rsidRPr="003A36F0" w:rsidRDefault="00F9726A" w:rsidP="00AF2B8D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F9726A" w:rsidRPr="003A36F0" w:rsidTr="00AF2B8D">
        <w:trPr>
          <w:trHeight w:val="412"/>
        </w:trPr>
        <w:tc>
          <w:tcPr>
            <w:tcW w:w="546" w:type="dxa"/>
            <w:vMerge w:val="restart"/>
            <w:tcBorders>
              <w:top w:val="single" w:sz="4" w:space="0" w:color="DDEBF7"/>
              <w:left w:val="single" w:sz="8" w:space="0" w:color="808080"/>
              <w:bottom w:val="single" w:sz="4" w:space="0" w:color="DDEBF7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COG/FF</w:t>
            </w:r>
          </w:p>
        </w:tc>
        <w:tc>
          <w:tcPr>
            <w:tcW w:w="1772" w:type="dxa"/>
            <w:vMerge w:val="restart"/>
            <w:tcBorders>
              <w:top w:val="single" w:sz="4" w:space="0" w:color="DDEBF7"/>
              <w:left w:val="single" w:sz="4" w:space="0" w:color="DDEBF7"/>
              <w:right w:val="single" w:sz="4" w:space="0" w:color="F2F2F2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RECURSOS FISCALES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INGRESOS PROPIOS</w:t>
            </w:r>
          </w:p>
        </w:tc>
        <w:tc>
          <w:tcPr>
            <w:tcW w:w="3173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RECURSOS FEDERALES  </w:t>
            </w:r>
          </w:p>
        </w:tc>
        <w:tc>
          <w:tcPr>
            <w:tcW w:w="1785" w:type="dxa"/>
            <w:gridSpan w:val="2"/>
            <w:tcBorders>
              <w:top w:val="single" w:sz="4" w:space="0" w:color="DDEBF7"/>
              <w:left w:val="single" w:sz="4" w:space="0" w:color="FFFFFF"/>
              <w:bottom w:val="nil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RECURSOS ESTATALES </w:t>
            </w:r>
          </w:p>
        </w:tc>
        <w:tc>
          <w:tcPr>
            <w:tcW w:w="1202" w:type="dxa"/>
            <w:vMerge w:val="restart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OTROS RECURSOS  </w:t>
            </w:r>
          </w:p>
        </w:tc>
        <w:tc>
          <w:tcPr>
            <w:tcW w:w="1024" w:type="dxa"/>
            <w:vMerge w:val="restart"/>
            <w:tcBorders>
              <w:top w:val="single" w:sz="4" w:space="0" w:color="DDEBF7"/>
              <w:left w:val="single" w:sz="4" w:space="0" w:color="DDEBF7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TOTAL ANUAL </w:t>
            </w:r>
          </w:p>
        </w:tc>
      </w:tr>
      <w:tr w:rsidR="00F9726A" w:rsidRPr="003A36F0" w:rsidTr="00AF2B8D">
        <w:trPr>
          <w:trHeight w:val="1251"/>
        </w:trPr>
        <w:tc>
          <w:tcPr>
            <w:tcW w:w="546" w:type="dxa"/>
            <w:vMerge/>
            <w:tcBorders>
              <w:top w:val="single" w:sz="4" w:space="0" w:color="DDEBF7"/>
              <w:left w:val="single" w:sz="8" w:space="0" w:color="808080"/>
              <w:bottom w:val="single" w:sz="4" w:space="0" w:color="DDEBF7"/>
              <w:right w:val="single" w:sz="4" w:space="0" w:color="DDEBF7"/>
            </w:tcBorders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2" w:type="dxa"/>
            <w:vMerge/>
            <w:tcBorders>
              <w:left w:val="single" w:sz="4" w:space="0" w:color="DDEBF7"/>
              <w:bottom w:val="single" w:sz="4" w:space="0" w:color="DDEBF7"/>
              <w:right w:val="single" w:sz="4" w:space="0" w:color="F2F2F2"/>
            </w:tcBorders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APORTACIONES FONDO INFRAESTRUCTURA</w:t>
            </w:r>
          </w:p>
        </w:tc>
        <w:tc>
          <w:tcPr>
            <w:tcW w:w="8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APORTACIONES  FONDO  FORTALECIMIENTO</w:t>
            </w:r>
          </w:p>
        </w:tc>
        <w:tc>
          <w:tcPr>
            <w:tcW w:w="107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PARTICIPACIONES FEDERALES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PARTICIPACIONES ESTATALES </w:t>
            </w:r>
          </w:p>
        </w:tc>
        <w:tc>
          <w:tcPr>
            <w:tcW w:w="83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CONVENIOS </w:t>
            </w:r>
          </w:p>
        </w:tc>
        <w:tc>
          <w:tcPr>
            <w:tcW w:w="1202" w:type="dxa"/>
            <w:vMerge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4" w:type="dxa"/>
            <w:vMerge/>
            <w:tcBorders>
              <w:top w:val="single" w:sz="4" w:space="0" w:color="DDEBF7"/>
              <w:left w:val="single" w:sz="4" w:space="0" w:color="DDEBF7"/>
              <w:bottom w:val="nil"/>
              <w:right w:val="nil"/>
            </w:tcBorders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9726A" w:rsidRPr="003A36F0" w:rsidTr="00AF2B8D">
        <w:trPr>
          <w:trHeight w:val="294"/>
        </w:trPr>
        <w:tc>
          <w:tcPr>
            <w:tcW w:w="54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4400</w:t>
            </w:r>
          </w:p>
        </w:tc>
        <w:tc>
          <w:tcPr>
            <w:tcW w:w="17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806F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AYUDAS SOCIALES</w:t>
            </w:r>
          </w:p>
        </w:tc>
        <w:tc>
          <w:tcPr>
            <w:tcW w:w="8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686,668</w:t>
            </w:r>
          </w:p>
        </w:tc>
        <w:tc>
          <w:tcPr>
            <w:tcW w:w="12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686,668</w:t>
            </w:r>
          </w:p>
        </w:tc>
      </w:tr>
      <w:tr w:rsidR="00F9726A" w:rsidRPr="003A36F0" w:rsidTr="00AF2B8D">
        <w:trPr>
          <w:trHeight w:val="574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Ayudas sociales a personas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486,668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486,668</w:t>
            </w:r>
          </w:p>
        </w:tc>
      </w:tr>
      <w:tr w:rsidR="00F9726A" w:rsidRPr="003A36F0" w:rsidTr="00AF2B8D">
        <w:trPr>
          <w:trHeight w:val="677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Becas y otras ayudas para programas de capacitación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9726A" w:rsidRPr="003A36F0" w:rsidTr="00AF2B8D">
        <w:trPr>
          <w:trHeight w:val="691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443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Ayudas sociales a instituciones de enseñanza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  <w:tr w:rsidR="00F9726A" w:rsidRPr="003A36F0" w:rsidTr="00AF2B8D">
        <w:trPr>
          <w:trHeight w:val="632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726A" w:rsidRPr="003A36F0" w:rsidRDefault="00F9726A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Ayudas sociales a actividades científicas o académicas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  <w:tr w:rsidR="00F9726A" w:rsidRPr="003A36F0" w:rsidTr="00AF2B8D">
        <w:trPr>
          <w:trHeight w:val="677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726A" w:rsidRPr="003A36F0" w:rsidRDefault="00F9726A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Ayudas sociales a instituciones sin fines de lucro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200,000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F9726A" w:rsidRPr="003A36F0" w:rsidRDefault="00F9726A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200,000</w:t>
            </w:r>
          </w:p>
        </w:tc>
      </w:tr>
    </w:tbl>
    <w:p w:rsidR="00F9726A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F9726A" w:rsidRPr="00301F4E" w:rsidRDefault="00F9726A" w:rsidP="00F972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 w:rsidRPr="00975CD0">
        <w:rPr>
          <w:rFonts w:ascii="Arial" w:eastAsiaTheme="minorHAnsi" w:hAnsi="Arial" w:cs="Arial"/>
          <w:bCs/>
          <w:lang w:val="es-MX" w:eastAsia="en-US"/>
        </w:rPr>
        <w:t>A</w:t>
      </w:r>
      <w:r>
        <w:rPr>
          <w:rFonts w:ascii="Arial" w:eastAsiaTheme="minorHAnsi" w:hAnsi="Arial" w:cs="Arial"/>
          <w:lang w:val="es-MX" w:eastAsia="en-US"/>
        </w:rPr>
        <w:t>rtículo 8 Numeral 1 Fracción V inciso c) de la Ley de Transparencia y Acceso a la Información Pública del Estado de Jalisco y sus Municipios.</w:t>
      </w:r>
    </w:p>
    <w:p w:rsidR="00F9726A" w:rsidRDefault="00F9726A" w:rsidP="00F9726A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F9726A" w:rsidRDefault="00F9726A" w:rsidP="00F9726A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proofErr w:type="spellStart"/>
      <w:r w:rsidRPr="00717885">
        <w:rPr>
          <w:rFonts w:ascii="Arial" w:eastAsiaTheme="minorHAnsi" w:hAnsi="Arial" w:cs="Arial"/>
          <w:b/>
          <w:color w:val="000000"/>
          <w:lang w:val="es-MX" w:eastAsia="en-US"/>
        </w:rPr>
        <w:t>Fuente:</w:t>
      </w:r>
      <w:r w:rsidRPr="002528FC">
        <w:rPr>
          <w:rFonts w:ascii="Arial" w:eastAsiaTheme="minorHAnsi" w:hAnsi="Arial" w:cs="Arial"/>
          <w:lang w:val="es-MX" w:eastAsia="en-US"/>
        </w:rPr>
        <w:t>Presupuesto</w:t>
      </w:r>
      <w:proofErr w:type="spellEnd"/>
      <w:r w:rsidRPr="002528FC">
        <w:rPr>
          <w:rFonts w:ascii="Arial" w:eastAsiaTheme="minorHAnsi" w:hAnsi="Arial" w:cs="Arial"/>
          <w:lang w:val="es-MX" w:eastAsia="en-US"/>
        </w:rPr>
        <w:t xml:space="preserve"> de Egresos para el Ejercicio Fiscal 2017, en el Municipio de Tonalá,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Jalisco aprobado bajo Acuerdo No. 574 por el Pleno de este H. Ayuntamiento se publicó en Gaceta </w:t>
      </w:r>
      <w:proofErr w:type="spellStart"/>
      <w:r w:rsidRPr="002528FC">
        <w:rPr>
          <w:rFonts w:ascii="Arial" w:eastAsiaTheme="minorHAnsi" w:hAnsi="Arial" w:cs="Arial"/>
          <w:lang w:val="es-MX" w:eastAsia="en-US"/>
        </w:rPr>
        <w:t>Tonallan</w:t>
      </w:r>
      <w:proofErr w:type="spellEnd"/>
      <w:r w:rsidRPr="002528FC">
        <w:rPr>
          <w:rFonts w:ascii="Arial" w:eastAsiaTheme="minorHAnsi" w:hAnsi="Arial" w:cs="Arial"/>
          <w:lang w:val="es-MX" w:eastAsia="en-US"/>
        </w:rPr>
        <w:t xml:space="preserve">  de </w:t>
      </w:r>
      <w:r>
        <w:rPr>
          <w:rFonts w:ascii="Arial" w:eastAsiaTheme="minorHAnsi" w:hAnsi="Arial" w:cs="Arial"/>
          <w:lang w:val="es-MX" w:eastAsia="en-US"/>
        </w:rPr>
        <w:t>Diciembre</w:t>
      </w:r>
      <w:r w:rsidRPr="002528FC">
        <w:rPr>
          <w:rFonts w:ascii="Arial" w:eastAsiaTheme="minorHAnsi" w:hAnsi="Arial" w:cs="Arial"/>
          <w:lang w:val="es-MX" w:eastAsia="en-US"/>
        </w:rPr>
        <w:t xml:space="preserve"> 201</w:t>
      </w:r>
      <w:r>
        <w:rPr>
          <w:rFonts w:ascii="Arial" w:eastAsiaTheme="minorHAnsi" w:hAnsi="Arial" w:cs="Arial"/>
          <w:lang w:val="es-MX" w:eastAsia="en-US"/>
        </w:rPr>
        <w:t>6</w:t>
      </w:r>
      <w:r w:rsidRPr="00213301">
        <w:rPr>
          <w:rFonts w:ascii="Arial" w:eastAsiaTheme="minorHAnsi" w:hAnsi="Arial" w:cs="Arial"/>
          <w:lang w:val="es-MX" w:eastAsia="en-US"/>
        </w:rPr>
        <w:t>, en el siguiente</w:t>
      </w:r>
      <w:r w:rsidRPr="00D828D1">
        <w:rPr>
          <w:rFonts w:ascii="Arial" w:eastAsiaTheme="minorHAnsi" w:hAnsi="Arial" w:cs="Arial"/>
          <w:b/>
          <w:lang w:val="es-MX" w:eastAsia="en-US"/>
        </w:rPr>
        <w:t xml:space="preserve">  link:</w:t>
      </w:r>
      <w:hyperlink r:id="rId10" w:history="1">
        <w:r w:rsidRPr="000F1037">
          <w:rPr>
            <w:rStyle w:val="Hipervnculo"/>
            <w:rFonts w:ascii="Arial" w:eastAsiaTheme="minorHAnsi" w:hAnsi="Arial" w:cs="Arial"/>
            <w:lang w:val="es-MX" w:eastAsia="en-US"/>
          </w:rPr>
          <w:t>http://tonala.gob.mx/portal/wp-content/uploads/2017/02/ACTAS-DE-DICIEMBRE.pdf</w:t>
        </w:r>
      </w:hyperlink>
    </w:p>
    <w:p w:rsidR="00D44C74" w:rsidRPr="00F9726A" w:rsidRDefault="00D44C74">
      <w:pPr>
        <w:rPr>
          <w:lang w:val="es-MX"/>
        </w:rPr>
      </w:pPr>
    </w:p>
    <w:sectPr w:rsidR="00D44C74" w:rsidRPr="00F9726A" w:rsidSect="00D44C7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06" w:rsidRDefault="00573306" w:rsidP="00F9726A">
      <w:r>
        <w:separator/>
      </w:r>
    </w:p>
  </w:endnote>
  <w:endnote w:type="continuationSeparator" w:id="0">
    <w:p w:rsidR="00573306" w:rsidRDefault="00573306" w:rsidP="00F9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06" w:rsidRDefault="00573306" w:rsidP="00F9726A">
      <w:r>
        <w:separator/>
      </w:r>
    </w:p>
  </w:footnote>
  <w:footnote w:type="continuationSeparator" w:id="0">
    <w:p w:rsidR="00573306" w:rsidRDefault="00573306" w:rsidP="00F9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6A" w:rsidRDefault="00F9726A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52475" cy="1072277"/>
          <wp:effectExtent l="19050" t="0" r="9525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72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s-MX" w:eastAsia="es-MX"/>
      </w:rPr>
      <w:t xml:space="preserve">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590675" cy="1073706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73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6A"/>
    <w:rsid w:val="002A149A"/>
    <w:rsid w:val="00573306"/>
    <w:rsid w:val="00D44C74"/>
    <w:rsid w:val="00F9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72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2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26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972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72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972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72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7/01/04-Egresos-Fuente-de-Financiamiento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nala.gob.mx/portal/wp-content/uploads/2017/02/ACTAS-DE-DICIEMBRE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2017-09-18T15:19:00Z</dcterms:created>
  <dcterms:modified xsi:type="dcterms:W3CDTF">2017-09-18T15:21:00Z</dcterms:modified>
</cp:coreProperties>
</file>