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74" w:rsidRDefault="00D44C74"/>
    <w:p w:rsidR="00B80B4D" w:rsidRDefault="00B80B4D" w:rsidP="00B80B4D">
      <w:pPr>
        <w:autoSpaceDE w:val="0"/>
        <w:autoSpaceDN w:val="0"/>
        <w:adjustRightInd w:val="0"/>
        <w:jc w:val="both"/>
        <w:rPr>
          <w:rFonts w:ascii="Arial" w:eastAsiaTheme="minorHAnsi" w:hAnsi="Arial" w:cs="Arial"/>
          <w:b/>
          <w:bCs/>
          <w:lang w:val="es-MX" w:eastAsia="en-US"/>
        </w:rPr>
      </w:pPr>
      <w:r>
        <w:rPr>
          <w:rFonts w:ascii="Arial" w:eastAsiaTheme="minorHAnsi" w:hAnsi="Arial" w:cs="Arial"/>
          <w:b/>
          <w:bCs/>
          <w:lang w:val="es-MX" w:eastAsia="en-US"/>
        </w:rPr>
        <w:t>58. ¿Desglosa el monto asignado en el ejercicio fiscal correspondiente al pago de deuda pública por comisiones, gastos, costos por coberturas y/o apoyos financieros?</w:t>
      </w:r>
    </w:p>
    <w:p w:rsidR="00B80B4D" w:rsidRDefault="00B80B4D" w:rsidP="00B80B4D">
      <w:pPr>
        <w:autoSpaceDE w:val="0"/>
        <w:autoSpaceDN w:val="0"/>
        <w:adjustRightInd w:val="0"/>
        <w:jc w:val="both"/>
        <w:rPr>
          <w:rStyle w:val="collapseomatic"/>
          <w:color w:val="444444"/>
          <w:bdr w:val="none" w:sz="0" w:space="0" w:color="auto" w:frame="1"/>
          <w:shd w:val="clear" w:color="auto" w:fill="FFFFFF"/>
        </w:rPr>
      </w:pPr>
    </w:p>
    <w:p w:rsidR="00B80B4D" w:rsidRDefault="00B80B4D" w:rsidP="00B80B4D">
      <w:pPr>
        <w:autoSpaceDE w:val="0"/>
        <w:autoSpaceDN w:val="0"/>
        <w:adjustRightInd w:val="0"/>
        <w:jc w:val="both"/>
        <w:rPr>
          <w:rFonts w:eastAsiaTheme="minorHAnsi"/>
          <w:b/>
          <w:lang w:eastAsia="en-US"/>
        </w:rPr>
      </w:pPr>
      <w:r>
        <w:rPr>
          <w:rStyle w:val="collapseomatic"/>
          <w:rFonts w:ascii="Arial" w:hAnsi="Arial" w:cs="Arial"/>
          <w:bCs/>
          <w:color w:val="444444"/>
          <w:bdr w:val="none" w:sz="0" w:space="0" w:color="auto" w:frame="1"/>
          <w:shd w:val="clear" w:color="auto" w:fill="FFFFFF"/>
          <w:lang w:val="es-MX"/>
        </w:rPr>
        <w:t>En el</w:t>
      </w:r>
      <w:r>
        <w:rPr>
          <w:rFonts w:ascii="Arial" w:eastAsiaTheme="minorHAnsi" w:hAnsi="Arial" w:cs="Arial"/>
          <w:lang w:val="es-MX" w:eastAsia="en-US"/>
        </w:rPr>
        <w:t xml:space="preserve"> Presupuesto de Egresos para el Ejercicio Fiscal del año 2017, se señala el monto correspondiente al pago de la deuda pública por concepto de amortización, intereses, comisiones, gastos, costo por aperturas, apoyos financieros y Adeudos de Ejercicios Fiscales Anteriores (ADEFAS).</w:t>
      </w:r>
    </w:p>
    <w:p w:rsidR="00B80B4D" w:rsidRDefault="00B80B4D" w:rsidP="00B80B4D">
      <w:pPr>
        <w:autoSpaceDE w:val="0"/>
        <w:autoSpaceDN w:val="0"/>
        <w:adjustRightInd w:val="0"/>
        <w:jc w:val="both"/>
        <w:rPr>
          <w:rFonts w:ascii="Arial" w:eastAsiaTheme="minorHAnsi" w:hAnsi="Arial" w:cs="Arial"/>
          <w:color w:val="000000"/>
          <w:lang w:val="es-MX" w:eastAsia="en-US"/>
        </w:rPr>
      </w:pPr>
    </w:p>
    <w:p w:rsidR="00B80B4D" w:rsidRDefault="00B80B4D" w:rsidP="00B80B4D">
      <w:pPr>
        <w:autoSpaceDE w:val="0"/>
        <w:autoSpaceDN w:val="0"/>
        <w:adjustRightInd w:val="0"/>
        <w:jc w:val="both"/>
        <w:rPr>
          <w:rFonts w:ascii="Arial" w:hAnsi="Arial" w:cs="Arial"/>
        </w:rPr>
      </w:pPr>
      <w:r>
        <w:rPr>
          <w:rFonts w:ascii="Arial" w:eastAsiaTheme="minorHAnsi" w:hAnsi="Arial" w:cs="Arial"/>
          <w:bCs/>
          <w:color w:val="000000"/>
          <w:lang w:val="es-MX" w:eastAsia="en-US"/>
        </w:rPr>
        <w:t>O a través de la siguiente</w:t>
      </w:r>
      <w:r>
        <w:rPr>
          <w:rFonts w:ascii="Arial" w:eastAsiaTheme="minorHAnsi" w:hAnsi="Arial" w:cs="Arial"/>
          <w:b/>
          <w:bCs/>
          <w:color w:val="000000"/>
          <w:lang w:val="es-MX" w:eastAsia="en-US"/>
        </w:rPr>
        <w:t xml:space="preserve"> ruta de acceso</w:t>
      </w:r>
      <w:r>
        <w:rPr>
          <w:rFonts w:ascii="Arial" w:eastAsiaTheme="minorHAnsi" w:hAnsi="Arial" w:cs="Arial"/>
          <w:bCs/>
          <w:color w:val="000000"/>
          <w:lang w:val="es-MX" w:eastAsia="en-US"/>
        </w:rPr>
        <w:t xml:space="preserve">: </w:t>
      </w:r>
      <w:hyperlink r:id="rId6" w:history="1">
        <w:r>
          <w:rPr>
            <w:rStyle w:val="Hipervnculo"/>
            <w:rFonts w:ascii="Arial" w:eastAsiaTheme="minorHAnsi" w:hAnsi="Arial" w:cs="Arial"/>
            <w:bCs/>
            <w:lang w:val="es-MX" w:eastAsia="en-US"/>
          </w:rPr>
          <w:t>http://tonala.gob.mx/portal/</w:t>
        </w:r>
      </w:hyperlink>
      <w:r>
        <w:rPr>
          <w:rFonts w:ascii="Arial" w:eastAsiaTheme="minorHAnsi" w:hAnsi="Arial" w:cs="Arial"/>
          <w:bCs/>
          <w:color w:val="000000"/>
          <w:lang w:val="es-MX" w:eastAsia="en-US"/>
        </w:rPr>
        <w:t xml:space="preserve"> Apartado de Transparencia- Información Fundamental- Articulo 8- Numeral 1 Fracción V- Inciso C- Presupuesto Municipal 2017- </w:t>
      </w:r>
      <w:hyperlink r:id="rId7" w:history="1">
        <w:r>
          <w:rPr>
            <w:rStyle w:val="Hipervnculo"/>
            <w:rFonts w:ascii="Arial" w:hAnsi="Arial" w:cs="Arial"/>
            <w:bdr w:val="none" w:sz="0" w:space="0" w:color="auto" w:frame="1"/>
            <w:shd w:val="clear" w:color="auto" w:fill="FFFFFF"/>
          </w:rPr>
          <w:t>Egresos Fuente  de Financiamiento</w:t>
        </w:r>
      </w:hyperlink>
    </w:p>
    <w:p w:rsidR="00B80B4D" w:rsidRDefault="00B80B4D" w:rsidP="00B80B4D">
      <w:pPr>
        <w:autoSpaceDE w:val="0"/>
        <w:autoSpaceDN w:val="0"/>
        <w:adjustRightInd w:val="0"/>
        <w:jc w:val="both"/>
      </w:pPr>
    </w:p>
    <w:p w:rsidR="00B80B4D" w:rsidRDefault="00B80B4D" w:rsidP="00B80B4D">
      <w:pPr>
        <w:autoSpaceDE w:val="0"/>
        <w:autoSpaceDN w:val="0"/>
        <w:adjustRightInd w:val="0"/>
        <w:jc w:val="both"/>
        <w:rPr>
          <w:rStyle w:val="collapseomatic"/>
          <w:rFonts w:ascii="Arial" w:hAnsi="Arial" w:cs="Arial"/>
          <w:b/>
          <w:bCs/>
          <w:bdr w:val="none" w:sz="0" w:space="0" w:color="auto" w:frame="1"/>
          <w:shd w:val="clear" w:color="auto" w:fill="FFFFFF"/>
        </w:rPr>
      </w:pPr>
      <w:r>
        <w:rPr>
          <w:rStyle w:val="collapseomatic"/>
          <w:rFonts w:ascii="Arial" w:hAnsi="Arial" w:cs="Arial"/>
          <w:bCs/>
          <w:bdr w:val="none" w:sz="0" w:space="0" w:color="auto" w:frame="1"/>
          <w:shd w:val="clear" w:color="auto" w:fill="FFFFFF"/>
        </w:rPr>
        <w:t>Puede ser consultado directamente en el siguiente</w:t>
      </w:r>
      <w:r>
        <w:rPr>
          <w:rStyle w:val="collapseomatic"/>
          <w:rFonts w:ascii="Arial" w:hAnsi="Arial" w:cs="Arial"/>
          <w:b/>
          <w:bCs/>
          <w:bdr w:val="none" w:sz="0" w:space="0" w:color="auto" w:frame="1"/>
          <w:shd w:val="clear" w:color="auto" w:fill="FFFFFF"/>
        </w:rPr>
        <w:t xml:space="preserve"> Link:</w:t>
      </w:r>
    </w:p>
    <w:p w:rsidR="00B80B4D" w:rsidRDefault="00B80B4D" w:rsidP="00B80B4D">
      <w:pPr>
        <w:autoSpaceDE w:val="0"/>
        <w:autoSpaceDN w:val="0"/>
        <w:adjustRightInd w:val="0"/>
        <w:jc w:val="both"/>
        <w:rPr>
          <w:rStyle w:val="collapseomatic"/>
          <w:rFonts w:ascii="Arial" w:eastAsiaTheme="minorHAnsi" w:hAnsi="Arial" w:cs="Arial"/>
          <w:bCs/>
          <w:color w:val="000000" w:themeColor="text1"/>
          <w:lang w:eastAsia="en-US"/>
        </w:rPr>
      </w:pPr>
      <w:hyperlink r:id="rId8" w:history="1">
        <w:r>
          <w:rPr>
            <w:rStyle w:val="Hipervnculo"/>
            <w:rFonts w:ascii="Arial" w:eastAsiaTheme="minorHAnsi" w:hAnsi="Arial" w:cs="Arial"/>
            <w:bCs/>
            <w:lang w:val="es-MX" w:eastAsia="en-US"/>
          </w:rPr>
          <w:t>http://tonala.gob.mx/portal/wp-content/uploads/2017/01/04-Egresos-Fuente-de-Financiamiento.pdf</w:t>
        </w:r>
      </w:hyperlink>
    </w:p>
    <w:p w:rsidR="00B80B4D" w:rsidRDefault="00B80B4D" w:rsidP="00B80B4D">
      <w:pPr>
        <w:spacing w:after="200" w:line="276" w:lineRule="auto"/>
        <w:jc w:val="both"/>
        <w:rPr>
          <w:rStyle w:val="collapseomatic"/>
          <w:rFonts w:ascii="Arial" w:hAnsi="Arial" w:cs="Arial"/>
          <w:bCs/>
          <w:color w:val="444444"/>
          <w:bdr w:val="none" w:sz="0" w:space="0" w:color="auto" w:frame="1"/>
          <w:shd w:val="clear" w:color="auto" w:fill="FFFFFF"/>
          <w:lang w:val="es-MX"/>
        </w:rPr>
      </w:pPr>
    </w:p>
    <w:tbl>
      <w:tblPr>
        <w:tblW w:w="10560" w:type="dxa"/>
        <w:tblLayout w:type="fixed"/>
        <w:tblCellMar>
          <w:left w:w="70" w:type="dxa"/>
          <w:right w:w="70" w:type="dxa"/>
        </w:tblCellMar>
        <w:tblLook w:val="04A0"/>
      </w:tblPr>
      <w:tblGrid>
        <w:gridCol w:w="620"/>
        <w:gridCol w:w="1326"/>
        <w:gridCol w:w="779"/>
        <w:gridCol w:w="1363"/>
        <w:gridCol w:w="1031"/>
        <w:gridCol w:w="1215"/>
        <w:gridCol w:w="1079"/>
        <w:gridCol w:w="945"/>
        <w:gridCol w:w="809"/>
        <w:gridCol w:w="1393"/>
      </w:tblGrid>
      <w:tr w:rsidR="00B80B4D" w:rsidTr="00B80B4D">
        <w:trPr>
          <w:trHeight w:val="475"/>
        </w:trPr>
        <w:tc>
          <w:tcPr>
            <w:tcW w:w="10565" w:type="dxa"/>
            <w:gridSpan w:val="10"/>
            <w:tcBorders>
              <w:top w:val="single" w:sz="8" w:space="0" w:color="808080"/>
              <w:left w:val="single" w:sz="8" w:space="0" w:color="808080"/>
              <w:bottom w:val="single" w:sz="4" w:space="0" w:color="FFFFFF"/>
              <w:right w:val="nil"/>
            </w:tcBorders>
            <w:hideMark/>
          </w:tcPr>
          <w:p w:rsidR="00B80B4D" w:rsidRDefault="00B80B4D">
            <w:pPr>
              <w:spacing w:line="276" w:lineRule="auto"/>
              <w:rPr>
                <w:rFonts w:ascii="Calibri" w:hAnsi="Calibri" w:cs="Calibri"/>
                <w:b/>
                <w:bCs/>
                <w:color w:val="000000"/>
                <w:lang w:val="es-MX" w:eastAsia="es-MX"/>
              </w:rPr>
            </w:pPr>
            <w:r>
              <w:rPr>
                <w:rFonts w:ascii="Calibri" w:hAnsi="Calibri" w:cs="Calibri"/>
                <w:b/>
                <w:bCs/>
                <w:color w:val="000000"/>
                <w:lang w:val="es-MX" w:eastAsia="es-MX"/>
              </w:rPr>
              <w:t>Presupuesto de Egresos por Clasificación por Objeto del Gasto y Fuentes de Financiamiento - 2017</w:t>
            </w:r>
          </w:p>
        </w:tc>
      </w:tr>
      <w:tr w:rsidR="00B80B4D" w:rsidTr="00B80B4D">
        <w:trPr>
          <w:trHeight w:val="316"/>
        </w:trPr>
        <w:tc>
          <w:tcPr>
            <w:tcW w:w="1947" w:type="dxa"/>
            <w:gridSpan w:val="2"/>
            <w:tcBorders>
              <w:top w:val="nil"/>
              <w:left w:val="single" w:sz="8" w:space="0" w:color="808080"/>
              <w:bottom w:val="nil"/>
              <w:right w:val="nil"/>
            </w:tcBorders>
            <w:noWrap/>
            <w:vAlign w:val="bottom"/>
            <w:hideMark/>
          </w:tcPr>
          <w:p w:rsidR="00B80B4D" w:rsidRDefault="00B80B4D">
            <w:pPr>
              <w:spacing w:line="276" w:lineRule="auto"/>
              <w:rPr>
                <w:rFonts w:ascii="Calibri" w:hAnsi="Calibri" w:cs="Calibri"/>
                <w:b/>
                <w:bCs/>
                <w:color w:val="000000"/>
                <w:lang w:val="es-MX" w:eastAsia="es-MX"/>
              </w:rPr>
            </w:pPr>
            <w:r>
              <w:rPr>
                <w:rFonts w:ascii="Calibri" w:hAnsi="Calibri" w:cs="Calibri"/>
                <w:b/>
                <w:bCs/>
                <w:color w:val="000000"/>
                <w:lang w:val="es-MX" w:eastAsia="es-MX"/>
              </w:rPr>
              <w:t>Municipio:  Tonalá, Jalisco</w:t>
            </w:r>
          </w:p>
        </w:tc>
        <w:tc>
          <w:tcPr>
            <w:tcW w:w="779" w:type="dxa"/>
            <w:noWrap/>
            <w:vAlign w:val="bottom"/>
            <w:hideMark/>
          </w:tcPr>
          <w:p w:rsidR="00B80B4D" w:rsidRDefault="00B80B4D">
            <w:pPr>
              <w:spacing w:line="276" w:lineRule="auto"/>
              <w:rPr>
                <w:rFonts w:asciiTheme="minorHAnsi" w:eastAsiaTheme="minorHAnsi" w:hAnsiTheme="minorHAnsi"/>
                <w:sz w:val="22"/>
                <w:szCs w:val="22"/>
                <w:lang w:val="es-MX" w:eastAsia="en-US"/>
              </w:rPr>
            </w:pPr>
          </w:p>
        </w:tc>
        <w:tc>
          <w:tcPr>
            <w:tcW w:w="1364" w:type="dxa"/>
            <w:noWrap/>
            <w:vAlign w:val="bottom"/>
            <w:hideMark/>
          </w:tcPr>
          <w:p w:rsidR="00B80B4D" w:rsidRDefault="00B80B4D">
            <w:pPr>
              <w:spacing w:line="276" w:lineRule="auto"/>
              <w:rPr>
                <w:rFonts w:asciiTheme="minorHAnsi" w:eastAsiaTheme="minorHAnsi" w:hAnsiTheme="minorHAnsi"/>
                <w:sz w:val="22"/>
                <w:szCs w:val="22"/>
                <w:lang w:val="es-MX" w:eastAsia="en-US"/>
              </w:rPr>
            </w:pPr>
          </w:p>
        </w:tc>
        <w:tc>
          <w:tcPr>
            <w:tcW w:w="1031" w:type="dxa"/>
            <w:noWrap/>
            <w:vAlign w:val="bottom"/>
            <w:hideMark/>
          </w:tcPr>
          <w:p w:rsidR="00B80B4D" w:rsidRDefault="00B80B4D">
            <w:pPr>
              <w:spacing w:line="276" w:lineRule="auto"/>
              <w:rPr>
                <w:rFonts w:asciiTheme="minorHAnsi" w:eastAsiaTheme="minorHAnsi" w:hAnsiTheme="minorHAnsi"/>
                <w:sz w:val="22"/>
                <w:szCs w:val="22"/>
                <w:lang w:val="es-MX" w:eastAsia="en-US"/>
              </w:rPr>
            </w:pPr>
          </w:p>
        </w:tc>
        <w:tc>
          <w:tcPr>
            <w:tcW w:w="1216" w:type="dxa"/>
            <w:noWrap/>
            <w:vAlign w:val="bottom"/>
            <w:hideMark/>
          </w:tcPr>
          <w:p w:rsidR="00B80B4D" w:rsidRDefault="00B80B4D">
            <w:pPr>
              <w:spacing w:line="276" w:lineRule="auto"/>
              <w:rPr>
                <w:rFonts w:asciiTheme="minorHAnsi" w:eastAsiaTheme="minorHAnsi" w:hAnsiTheme="minorHAnsi"/>
                <w:sz w:val="22"/>
                <w:szCs w:val="22"/>
                <w:lang w:val="es-MX" w:eastAsia="en-US"/>
              </w:rPr>
            </w:pPr>
          </w:p>
        </w:tc>
        <w:tc>
          <w:tcPr>
            <w:tcW w:w="1080" w:type="dxa"/>
            <w:noWrap/>
            <w:vAlign w:val="bottom"/>
            <w:hideMark/>
          </w:tcPr>
          <w:p w:rsidR="00B80B4D" w:rsidRDefault="00B80B4D">
            <w:pPr>
              <w:spacing w:line="276" w:lineRule="auto"/>
              <w:rPr>
                <w:rFonts w:asciiTheme="minorHAnsi" w:eastAsiaTheme="minorHAnsi" w:hAnsiTheme="minorHAnsi"/>
                <w:sz w:val="22"/>
                <w:szCs w:val="22"/>
                <w:lang w:val="es-MX" w:eastAsia="en-US"/>
              </w:rPr>
            </w:pPr>
          </w:p>
        </w:tc>
        <w:tc>
          <w:tcPr>
            <w:tcW w:w="945" w:type="dxa"/>
            <w:noWrap/>
            <w:vAlign w:val="bottom"/>
            <w:hideMark/>
          </w:tcPr>
          <w:p w:rsidR="00B80B4D" w:rsidRDefault="00B80B4D">
            <w:pPr>
              <w:spacing w:line="276" w:lineRule="auto"/>
              <w:rPr>
                <w:rFonts w:asciiTheme="minorHAnsi" w:eastAsiaTheme="minorHAnsi" w:hAnsiTheme="minorHAnsi"/>
                <w:sz w:val="22"/>
                <w:szCs w:val="22"/>
                <w:lang w:val="es-MX" w:eastAsia="en-US"/>
              </w:rPr>
            </w:pPr>
          </w:p>
        </w:tc>
        <w:tc>
          <w:tcPr>
            <w:tcW w:w="809" w:type="dxa"/>
            <w:noWrap/>
            <w:vAlign w:val="bottom"/>
            <w:hideMark/>
          </w:tcPr>
          <w:p w:rsidR="00B80B4D" w:rsidRDefault="00B80B4D">
            <w:pPr>
              <w:spacing w:line="276" w:lineRule="auto"/>
              <w:rPr>
                <w:rFonts w:asciiTheme="minorHAnsi" w:eastAsiaTheme="minorHAnsi" w:hAnsiTheme="minorHAnsi"/>
                <w:sz w:val="22"/>
                <w:szCs w:val="22"/>
                <w:lang w:val="es-MX" w:eastAsia="en-US"/>
              </w:rPr>
            </w:pPr>
          </w:p>
        </w:tc>
        <w:tc>
          <w:tcPr>
            <w:tcW w:w="1394" w:type="dxa"/>
            <w:noWrap/>
            <w:vAlign w:val="bottom"/>
            <w:hideMark/>
          </w:tcPr>
          <w:p w:rsidR="00B80B4D" w:rsidRDefault="00B80B4D">
            <w:pPr>
              <w:spacing w:line="276" w:lineRule="auto"/>
              <w:rPr>
                <w:rFonts w:asciiTheme="minorHAnsi" w:eastAsiaTheme="minorHAnsi" w:hAnsiTheme="minorHAnsi"/>
                <w:sz w:val="22"/>
                <w:szCs w:val="22"/>
                <w:lang w:val="es-MX" w:eastAsia="en-US"/>
              </w:rPr>
            </w:pPr>
          </w:p>
        </w:tc>
      </w:tr>
      <w:tr w:rsidR="00B80B4D" w:rsidTr="00B80B4D">
        <w:trPr>
          <w:trHeight w:val="402"/>
        </w:trPr>
        <w:tc>
          <w:tcPr>
            <w:tcW w:w="620" w:type="dxa"/>
            <w:vMerge w:val="restart"/>
            <w:tcBorders>
              <w:top w:val="single" w:sz="4" w:space="0" w:color="DDEBF7"/>
              <w:left w:val="single" w:sz="8" w:space="0" w:color="808080"/>
              <w:bottom w:val="single" w:sz="4" w:space="0" w:color="DDEBF7"/>
              <w:right w:val="single" w:sz="4" w:space="0" w:color="DDEBF7"/>
            </w:tcBorders>
            <w:shd w:val="clear" w:color="auto" w:fill="00C4BF"/>
            <w:vAlign w:val="center"/>
            <w:hideMark/>
          </w:tcPr>
          <w:p w:rsidR="00B80B4D" w:rsidRDefault="00B80B4D">
            <w:pPr>
              <w:spacing w:line="276" w:lineRule="auto"/>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COG/FF</w:t>
            </w:r>
          </w:p>
        </w:tc>
        <w:tc>
          <w:tcPr>
            <w:tcW w:w="1327" w:type="dxa"/>
            <w:vMerge w:val="restart"/>
            <w:tcBorders>
              <w:top w:val="single" w:sz="4" w:space="0" w:color="DDEBF7"/>
              <w:left w:val="single" w:sz="4" w:space="0" w:color="DDEBF7"/>
              <w:bottom w:val="single" w:sz="4" w:space="0" w:color="DDEBF7"/>
              <w:right w:val="single" w:sz="4" w:space="0" w:color="F2F2F2"/>
            </w:tcBorders>
            <w:shd w:val="clear" w:color="auto" w:fill="00C4BF"/>
            <w:vAlign w:val="center"/>
            <w:hideMark/>
          </w:tcPr>
          <w:p w:rsidR="00B80B4D" w:rsidRDefault="00B80B4D">
            <w:pPr>
              <w:spacing w:line="276" w:lineRule="auto"/>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DESCRIPCIÓN</w:t>
            </w:r>
          </w:p>
          <w:p w:rsidR="00B80B4D" w:rsidRDefault="00B80B4D">
            <w:pPr>
              <w:spacing w:line="276" w:lineRule="auto"/>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RECURSOS FISCALES</w:t>
            </w:r>
          </w:p>
        </w:tc>
        <w:tc>
          <w:tcPr>
            <w:tcW w:w="779" w:type="dxa"/>
            <w:vMerge w:val="restart"/>
            <w:tcBorders>
              <w:top w:val="nil"/>
              <w:left w:val="single" w:sz="4" w:space="0" w:color="F2F2F2"/>
              <w:bottom w:val="nil"/>
              <w:right w:val="single" w:sz="4" w:space="0" w:color="F2F2F2"/>
            </w:tcBorders>
            <w:shd w:val="clear" w:color="auto" w:fill="00C4BF"/>
            <w:vAlign w:val="center"/>
            <w:hideMark/>
          </w:tcPr>
          <w:p w:rsidR="00B80B4D" w:rsidRDefault="00B80B4D">
            <w:pPr>
              <w:spacing w:line="276" w:lineRule="auto"/>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INGRESOS PROPIOS</w:t>
            </w:r>
          </w:p>
        </w:tc>
        <w:tc>
          <w:tcPr>
            <w:tcW w:w="3611" w:type="dxa"/>
            <w:gridSpan w:val="3"/>
            <w:tcBorders>
              <w:top w:val="nil"/>
              <w:left w:val="single" w:sz="4" w:space="0" w:color="FFFFFF"/>
              <w:bottom w:val="nil"/>
              <w:right w:val="nil"/>
            </w:tcBorders>
            <w:shd w:val="clear" w:color="auto" w:fill="00C4BF"/>
            <w:vAlign w:val="center"/>
            <w:hideMark/>
          </w:tcPr>
          <w:p w:rsidR="00B80B4D" w:rsidRDefault="00B80B4D">
            <w:pPr>
              <w:spacing w:line="276" w:lineRule="auto"/>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RECURSOS FEDERALES  </w:t>
            </w:r>
          </w:p>
        </w:tc>
        <w:tc>
          <w:tcPr>
            <w:tcW w:w="2025" w:type="dxa"/>
            <w:gridSpan w:val="2"/>
            <w:tcBorders>
              <w:top w:val="single" w:sz="4" w:space="0" w:color="DDEBF7"/>
              <w:left w:val="single" w:sz="4" w:space="0" w:color="FFFFFF"/>
              <w:bottom w:val="nil"/>
              <w:right w:val="single" w:sz="4" w:space="0" w:color="DDEBF7"/>
            </w:tcBorders>
            <w:shd w:val="clear" w:color="auto" w:fill="00C4BF"/>
            <w:vAlign w:val="center"/>
            <w:hideMark/>
          </w:tcPr>
          <w:p w:rsidR="00B80B4D" w:rsidRDefault="00B80B4D">
            <w:pPr>
              <w:spacing w:line="276" w:lineRule="auto"/>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RECURSOS ESTATALES </w:t>
            </w:r>
          </w:p>
        </w:tc>
        <w:tc>
          <w:tcPr>
            <w:tcW w:w="809" w:type="dxa"/>
            <w:vMerge w:val="restart"/>
            <w:tcBorders>
              <w:top w:val="single" w:sz="4" w:space="0" w:color="DDEBF7"/>
              <w:left w:val="single" w:sz="4" w:space="0" w:color="DDEBF7"/>
              <w:bottom w:val="single" w:sz="4" w:space="0" w:color="DDEBF7"/>
              <w:right w:val="single" w:sz="4" w:space="0" w:color="DDEBF7"/>
            </w:tcBorders>
            <w:shd w:val="clear" w:color="auto" w:fill="00C4BF"/>
            <w:vAlign w:val="center"/>
            <w:hideMark/>
          </w:tcPr>
          <w:p w:rsidR="00B80B4D" w:rsidRDefault="00B80B4D">
            <w:pPr>
              <w:spacing w:line="276" w:lineRule="auto"/>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OTROS RECURSOS  </w:t>
            </w:r>
          </w:p>
        </w:tc>
        <w:tc>
          <w:tcPr>
            <w:tcW w:w="1394" w:type="dxa"/>
            <w:vMerge w:val="restart"/>
            <w:tcBorders>
              <w:top w:val="single" w:sz="4" w:space="0" w:color="DDEBF7"/>
              <w:left w:val="single" w:sz="4" w:space="0" w:color="DDEBF7"/>
              <w:bottom w:val="nil"/>
              <w:right w:val="nil"/>
            </w:tcBorders>
            <w:shd w:val="clear" w:color="auto" w:fill="00C4BF"/>
            <w:vAlign w:val="center"/>
            <w:hideMark/>
          </w:tcPr>
          <w:p w:rsidR="00B80B4D" w:rsidRDefault="00B80B4D">
            <w:pPr>
              <w:spacing w:line="276" w:lineRule="auto"/>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TOTAL ANUAL </w:t>
            </w:r>
          </w:p>
        </w:tc>
      </w:tr>
      <w:tr w:rsidR="00B80B4D" w:rsidTr="00B80B4D">
        <w:trPr>
          <w:trHeight w:val="1224"/>
        </w:trPr>
        <w:tc>
          <w:tcPr>
            <w:tcW w:w="10565" w:type="dxa"/>
            <w:vMerge/>
            <w:tcBorders>
              <w:top w:val="single" w:sz="4" w:space="0" w:color="DDEBF7"/>
              <w:left w:val="single" w:sz="8" w:space="0" w:color="808080"/>
              <w:bottom w:val="single" w:sz="4" w:space="0" w:color="DDEBF7"/>
              <w:right w:val="single" w:sz="4" w:space="0" w:color="DDEBF7"/>
            </w:tcBorders>
            <w:vAlign w:val="center"/>
            <w:hideMark/>
          </w:tcPr>
          <w:p w:rsidR="00B80B4D" w:rsidRDefault="00B80B4D">
            <w:pPr>
              <w:rPr>
                <w:rFonts w:ascii="Calibri" w:hAnsi="Calibri" w:cs="Calibri"/>
                <w:b/>
                <w:bCs/>
                <w:color w:val="000000"/>
                <w:sz w:val="16"/>
                <w:szCs w:val="16"/>
                <w:lang w:val="es-MX" w:eastAsia="es-MX"/>
              </w:rPr>
            </w:pPr>
          </w:p>
        </w:tc>
        <w:tc>
          <w:tcPr>
            <w:tcW w:w="1327" w:type="dxa"/>
            <w:vMerge/>
            <w:tcBorders>
              <w:top w:val="single" w:sz="4" w:space="0" w:color="DDEBF7"/>
              <w:left w:val="single" w:sz="4" w:space="0" w:color="DDEBF7"/>
              <w:bottom w:val="single" w:sz="4" w:space="0" w:color="DDEBF7"/>
              <w:right w:val="single" w:sz="4" w:space="0" w:color="F2F2F2"/>
            </w:tcBorders>
            <w:vAlign w:val="center"/>
            <w:hideMark/>
          </w:tcPr>
          <w:p w:rsidR="00B80B4D" w:rsidRDefault="00B80B4D">
            <w:pPr>
              <w:rPr>
                <w:rFonts w:ascii="Calibri" w:hAnsi="Calibri" w:cs="Calibri"/>
                <w:b/>
                <w:bCs/>
                <w:color w:val="000000"/>
                <w:sz w:val="16"/>
                <w:szCs w:val="16"/>
                <w:lang w:val="es-MX" w:eastAsia="es-MX"/>
              </w:rPr>
            </w:pPr>
          </w:p>
        </w:tc>
        <w:tc>
          <w:tcPr>
            <w:tcW w:w="779" w:type="dxa"/>
            <w:vMerge/>
            <w:tcBorders>
              <w:top w:val="nil"/>
              <w:left w:val="single" w:sz="4" w:space="0" w:color="F2F2F2"/>
              <w:bottom w:val="nil"/>
              <w:right w:val="single" w:sz="4" w:space="0" w:color="F2F2F2"/>
            </w:tcBorders>
            <w:vAlign w:val="center"/>
            <w:hideMark/>
          </w:tcPr>
          <w:p w:rsidR="00B80B4D" w:rsidRDefault="00B80B4D">
            <w:pPr>
              <w:rPr>
                <w:rFonts w:ascii="Calibri" w:hAnsi="Calibri" w:cs="Calibri"/>
                <w:b/>
                <w:bCs/>
                <w:color w:val="000000"/>
                <w:sz w:val="16"/>
                <w:szCs w:val="16"/>
                <w:lang w:val="es-MX" w:eastAsia="es-MX"/>
              </w:rPr>
            </w:pPr>
          </w:p>
        </w:tc>
        <w:tc>
          <w:tcPr>
            <w:tcW w:w="1364" w:type="dxa"/>
            <w:tcBorders>
              <w:top w:val="single" w:sz="4" w:space="0" w:color="FFFFFF"/>
              <w:left w:val="nil"/>
              <w:bottom w:val="nil"/>
              <w:right w:val="single" w:sz="4" w:space="0" w:color="FFFFFF"/>
            </w:tcBorders>
            <w:shd w:val="clear" w:color="auto" w:fill="00C4BF"/>
            <w:vAlign w:val="center"/>
            <w:hideMark/>
          </w:tcPr>
          <w:p w:rsidR="00B80B4D" w:rsidRDefault="00B80B4D">
            <w:pPr>
              <w:spacing w:line="276" w:lineRule="auto"/>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APORTACIONES FONDO INFRAESTRUCTURA</w:t>
            </w:r>
          </w:p>
        </w:tc>
        <w:tc>
          <w:tcPr>
            <w:tcW w:w="1031" w:type="dxa"/>
            <w:tcBorders>
              <w:top w:val="single" w:sz="4" w:space="0" w:color="FFFFFF"/>
              <w:left w:val="nil"/>
              <w:bottom w:val="nil"/>
              <w:right w:val="single" w:sz="4" w:space="0" w:color="FFFFFF"/>
            </w:tcBorders>
            <w:shd w:val="clear" w:color="auto" w:fill="00C4BF"/>
            <w:vAlign w:val="center"/>
            <w:hideMark/>
          </w:tcPr>
          <w:p w:rsidR="00B80B4D" w:rsidRDefault="00B80B4D">
            <w:pPr>
              <w:spacing w:line="276" w:lineRule="auto"/>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APORTACIONES  FONDO  FORTALECIMIENTO</w:t>
            </w:r>
          </w:p>
        </w:tc>
        <w:tc>
          <w:tcPr>
            <w:tcW w:w="1216" w:type="dxa"/>
            <w:tcBorders>
              <w:top w:val="single" w:sz="4" w:space="0" w:color="FFFFFF"/>
              <w:left w:val="nil"/>
              <w:bottom w:val="nil"/>
              <w:right w:val="single" w:sz="4" w:space="0" w:color="FFFFFF"/>
            </w:tcBorders>
            <w:shd w:val="clear" w:color="auto" w:fill="00C4BF"/>
            <w:vAlign w:val="center"/>
            <w:hideMark/>
          </w:tcPr>
          <w:p w:rsidR="00B80B4D" w:rsidRDefault="00B80B4D">
            <w:pPr>
              <w:spacing w:line="276" w:lineRule="auto"/>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PARTICIPACIONES FEDERALES</w:t>
            </w:r>
          </w:p>
        </w:tc>
        <w:tc>
          <w:tcPr>
            <w:tcW w:w="1080" w:type="dxa"/>
            <w:tcBorders>
              <w:top w:val="single" w:sz="4" w:space="0" w:color="FFFFFF"/>
              <w:left w:val="nil"/>
              <w:bottom w:val="nil"/>
              <w:right w:val="single" w:sz="4" w:space="0" w:color="FFFFFF"/>
            </w:tcBorders>
            <w:shd w:val="clear" w:color="auto" w:fill="00C4BF"/>
            <w:vAlign w:val="center"/>
            <w:hideMark/>
          </w:tcPr>
          <w:p w:rsidR="00B80B4D" w:rsidRDefault="00B80B4D">
            <w:pPr>
              <w:spacing w:line="276" w:lineRule="auto"/>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PARTICIPACIONES ESTATALES </w:t>
            </w:r>
          </w:p>
        </w:tc>
        <w:tc>
          <w:tcPr>
            <w:tcW w:w="945" w:type="dxa"/>
            <w:tcBorders>
              <w:top w:val="single" w:sz="4" w:space="0" w:color="FFFFFF"/>
              <w:left w:val="nil"/>
              <w:bottom w:val="nil"/>
              <w:right w:val="single" w:sz="4" w:space="0" w:color="FFFFFF"/>
            </w:tcBorders>
            <w:shd w:val="clear" w:color="auto" w:fill="00C4BF"/>
            <w:vAlign w:val="center"/>
            <w:hideMark/>
          </w:tcPr>
          <w:p w:rsidR="00B80B4D" w:rsidRDefault="00B80B4D">
            <w:pPr>
              <w:spacing w:line="276" w:lineRule="auto"/>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CONVENIOS </w:t>
            </w:r>
          </w:p>
        </w:tc>
        <w:tc>
          <w:tcPr>
            <w:tcW w:w="809" w:type="dxa"/>
            <w:vMerge/>
            <w:tcBorders>
              <w:top w:val="single" w:sz="4" w:space="0" w:color="DDEBF7"/>
              <w:left w:val="single" w:sz="4" w:space="0" w:color="DDEBF7"/>
              <w:bottom w:val="single" w:sz="4" w:space="0" w:color="DDEBF7"/>
              <w:right w:val="single" w:sz="4" w:space="0" w:color="DDEBF7"/>
            </w:tcBorders>
            <w:vAlign w:val="center"/>
            <w:hideMark/>
          </w:tcPr>
          <w:p w:rsidR="00B80B4D" w:rsidRDefault="00B80B4D">
            <w:pPr>
              <w:rPr>
                <w:rFonts w:ascii="Calibri" w:hAnsi="Calibri" w:cs="Calibri"/>
                <w:b/>
                <w:bCs/>
                <w:color w:val="000000"/>
                <w:sz w:val="16"/>
                <w:szCs w:val="16"/>
                <w:lang w:val="es-MX" w:eastAsia="es-MX"/>
              </w:rPr>
            </w:pPr>
          </w:p>
        </w:tc>
        <w:tc>
          <w:tcPr>
            <w:tcW w:w="1394" w:type="dxa"/>
            <w:vMerge/>
            <w:tcBorders>
              <w:top w:val="single" w:sz="4" w:space="0" w:color="DDEBF7"/>
              <w:left w:val="single" w:sz="4" w:space="0" w:color="DDEBF7"/>
              <w:bottom w:val="nil"/>
              <w:right w:val="nil"/>
            </w:tcBorders>
            <w:vAlign w:val="center"/>
            <w:hideMark/>
          </w:tcPr>
          <w:p w:rsidR="00B80B4D" w:rsidRDefault="00B80B4D">
            <w:pPr>
              <w:rPr>
                <w:rFonts w:ascii="Calibri" w:hAnsi="Calibri" w:cs="Calibri"/>
                <w:b/>
                <w:bCs/>
                <w:color w:val="000000"/>
                <w:sz w:val="16"/>
                <w:szCs w:val="16"/>
                <w:lang w:val="es-MX" w:eastAsia="es-MX"/>
              </w:rPr>
            </w:pPr>
          </w:p>
        </w:tc>
      </w:tr>
      <w:tr w:rsidR="00B80B4D" w:rsidTr="00B80B4D">
        <w:trPr>
          <w:trHeight w:val="288"/>
        </w:trPr>
        <w:tc>
          <w:tcPr>
            <w:tcW w:w="620" w:type="dxa"/>
            <w:tcBorders>
              <w:top w:val="single" w:sz="4" w:space="0" w:color="808080"/>
              <w:left w:val="single" w:sz="8" w:space="0" w:color="808080"/>
              <w:bottom w:val="single" w:sz="4" w:space="0" w:color="808080"/>
              <w:right w:val="single" w:sz="4" w:space="0" w:color="808080"/>
            </w:tcBorders>
            <w:shd w:val="clear" w:color="auto" w:fill="6FEBDF"/>
            <w:noWrap/>
            <w:vAlign w:val="center"/>
            <w:hideMark/>
          </w:tcPr>
          <w:p w:rsidR="00B80B4D" w:rsidRDefault="00B80B4D">
            <w:pPr>
              <w:spacing w:line="276" w:lineRule="auto"/>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9000</w:t>
            </w:r>
          </w:p>
        </w:tc>
        <w:tc>
          <w:tcPr>
            <w:tcW w:w="1327" w:type="dxa"/>
            <w:tcBorders>
              <w:top w:val="single" w:sz="4" w:space="0" w:color="808080"/>
              <w:left w:val="nil"/>
              <w:bottom w:val="single" w:sz="4" w:space="0" w:color="808080"/>
              <w:right w:val="single" w:sz="4" w:space="0" w:color="808080"/>
            </w:tcBorders>
            <w:shd w:val="clear" w:color="auto" w:fill="6FEBDF"/>
            <w:vAlign w:val="center"/>
            <w:hideMark/>
          </w:tcPr>
          <w:p w:rsidR="00B80B4D" w:rsidRDefault="00B80B4D">
            <w:pPr>
              <w:spacing w:line="276" w:lineRule="auto"/>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DEUDA  PÚBLICA</w:t>
            </w:r>
          </w:p>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779" w:type="dxa"/>
            <w:tcBorders>
              <w:top w:val="single" w:sz="4" w:space="0" w:color="808080"/>
              <w:left w:val="nil"/>
              <w:bottom w:val="single" w:sz="4" w:space="0" w:color="808080"/>
              <w:right w:val="single" w:sz="4" w:space="0" w:color="808080"/>
            </w:tcBorders>
            <w:shd w:val="clear" w:color="auto" w:fill="6FEBDF"/>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7,174,364 </w:t>
            </w:r>
          </w:p>
        </w:tc>
        <w:tc>
          <w:tcPr>
            <w:tcW w:w="1364" w:type="dxa"/>
            <w:tcBorders>
              <w:top w:val="single" w:sz="4" w:space="0" w:color="808080"/>
              <w:left w:val="nil"/>
              <w:bottom w:val="single" w:sz="4" w:space="0" w:color="808080"/>
              <w:right w:val="single" w:sz="4" w:space="0" w:color="808080"/>
            </w:tcBorders>
            <w:shd w:val="clear" w:color="auto" w:fill="6FEBDF"/>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031" w:type="dxa"/>
            <w:tcBorders>
              <w:top w:val="single" w:sz="4" w:space="0" w:color="808080"/>
              <w:left w:val="nil"/>
              <w:bottom w:val="single" w:sz="4" w:space="0" w:color="808080"/>
              <w:right w:val="single" w:sz="4" w:space="0" w:color="808080"/>
            </w:tcBorders>
            <w:shd w:val="clear" w:color="auto" w:fill="6FEBDF"/>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216" w:type="dxa"/>
            <w:tcBorders>
              <w:top w:val="single" w:sz="4" w:space="0" w:color="808080"/>
              <w:left w:val="nil"/>
              <w:bottom w:val="single" w:sz="4" w:space="0" w:color="808080"/>
              <w:right w:val="single" w:sz="4" w:space="0" w:color="808080"/>
            </w:tcBorders>
            <w:shd w:val="clear" w:color="auto" w:fill="6FEBDF"/>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86,980,136 </w:t>
            </w:r>
          </w:p>
        </w:tc>
        <w:tc>
          <w:tcPr>
            <w:tcW w:w="1080" w:type="dxa"/>
            <w:tcBorders>
              <w:top w:val="single" w:sz="4" w:space="0" w:color="808080"/>
              <w:left w:val="nil"/>
              <w:bottom w:val="single" w:sz="4" w:space="0" w:color="808080"/>
              <w:right w:val="single" w:sz="4" w:space="0" w:color="808080"/>
            </w:tcBorders>
            <w:shd w:val="clear" w:color="auto" w:fill="6FEBDF"/>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945" w:type="dxa"/>
            <w:tcBorders>
              <w:top w:val="single" w:sz="4" w:space="0" w:color="808080"/>
              <w:left w:val="nil"/>
              <w:bottom w:val="single" w:sz="4" w:space="0" w:color="808080"/>
              <w:right w:val="single" w:sz="4" w:space="0" w:color="808080"/>
            </w:tcBorders>
            <w:shd w:val="clear" w:color="auto" w:fill="6FEBDF"/>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809" w:type="dxa"/>
            <w:tcBorders>
              <w:top w:val="single" w:sz="4" w:space="0" w:color="808080"/>
              <w:left w:val="nil"/>
              <w:bottom w:val="single" w:sz="4" w:space="0" w:color="808080"/>
              <w:right w:val="single" w:sz="4" w:space="0" w:color="808080"/>
            </w:tcBorders>
            <w:shd w:val="clear" w:color="auto" w:fill="6FEBDF"/>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394" w:type="dxa"/>
            <w:tcBorders>
              <w:top w:val="single" w:sz="4" w:space="0" w:color="808080"/>
              <w:left w:val="nil"/>
              <w:bottom w:val="single" w:sz="4" w:space="0" w:color="808080"/>
              <w:right w:val="single" w:sz="4" w:space="0" w:color="808080"/>
            </w:tcBorders>
            <w:shd w:val="clear" w:color="auto" w:fill="6FEBDF"/>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94,154,500 </w:t>
            </w:r>
          </w:p>
        </w:tc>
      </w:tr>
      <w:tr w:rsidR="00B80B4D" w:rsidTr="00B80B4D">
        <w:trPr>
          <w:trHeight w:val="623"/>
        </w:trPr>
        <w:tc>
          <w:tcPr>
            <w:tcW w:w="620" w:type="dxa"/>
            <w:tcBorders>
              <w:top w:val="nil"/>
              <w:left w:val="single" w:sz="8" w:space="0" w:color="808080"/>
              <w:bottom w:val="single" w:sz="4" w:space="0" w:color="808080"/>
              <w:right w:val="single" w:sz="4" w:space="0" w:color="808080"/>
            </w:tcBorders>
            <w:shd w:val="clear" w:color="auto" w:fill="FFF2D4"/>
            <w:noWrap/>
            <w:vAlign w:val="center"/>
            <w:hideMark/>
          </w:tcPr>
          <w:p w:rsidR="00B80B4D" w:rsidRDefault="00B80B4D">
            <w:pPr>
              <w:spacing w:line="276" w:lineRule="auto"/>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9300</w:t>
            </w:r>
          </w:p>
        </w:tc>
        <w:tc>
          <w:tcPr>
            <w:tcW w:w="1327" w:type="dxa"/>
            <w:tcBorders>
              <w:top w:val="nil"/>
              <w:left w:val="nil"/>
              <w:bottom w:val="single" w:sz="4" w:space="0" w:color="808080"/>
              <w:right w:val="single" w:sz="4" w:space="0" w:color="808080"/>
            </w:tcBorders>
            <w:shd w:val="clear" w:color="auto" w:fill="FFF2D4"/>
            <w:vAlign w:val="center"/>
            <w:hideMark/>
          </w:tcPr>
          <w:p w:rsidR="00B80B4D" w:rsidRDefault="00B80B4D">
            <w:pPr>
              <w:spacing w:line="276" w:lineRule="auto"/>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COMISIONES DE LA DEUDA PÚBLICA</w:t>
            </w:r>
          </w:p>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779"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364"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031"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216"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080"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945"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809"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394"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r>
      <w:tr w:rsidR="00B80B4D" w:rsidTr="00B80B4D">
        <w:trPr>
          <w:trHeight w:val="460"/>
        </w:trPr>
        <w:tc>
          <w:tcPr>
            <w:tcW w:w="620" w:type="dxa"/>
            <w:tcBorders>
              <w:top w:val="nil"/>
              <w:left w:val="single" w:sz="8" w:space="0" w:color="808080"/>
              <w:bottom w:val="single" w:sz="4" w:space="0" w:color="808080"/>
              <w:right w:val="single" w:sz="4" w:space="0" w:color="808080"/>
            </w:tcBorders>
            <w:noWrap/>
            <w:vAlign w:val="center"/>
            <w:hideMark/>
          </w:tcPr>
          <w:p w:rsidR="00B80B4D" w:rsidRDefault="00B80B4D">
            <w:pPr>
              <w:spacing w:line="276" w:lineRule="auto"/>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931</w:t>
            </w:r>
          </w:p>
        </w:tc>
        <w:tc>
          <w:tcPr>
            <w:tcW w:w="1327" w:type="dxa"/>
            <w:tcBorders>
              <w:top w:val="nil"/>
              <w:left w:val="nil"/>
              <w:bottom w:val="single" w:sz="4" w:space="0" w:color="808080"/>
              <w:right w:val="single" w:sz="4" w:space="0" w:color="808080"/>
            </w:tcBorders>
            <w:vAlign w:val="center"/>
            <w:hideMark/>
          </w:tcPr>
          <w:p w:rsidR="00B80B4D" w:rsidRDefault="00B80B4D">
            <w:pPr>
              <w:spacing w:line="276" w:lineRule="auto"/>
              <w:rPr>
                <w:rFonts w:ascii="Calibri" w:hAnsi="Calibri" w:cs="Calibri"/>
                <w:color w:val="000000"/>
                <w:sz w:val="16"/>
                <w:szCs w:val="16"/>
                <w:lang w:val="es-MX" w:eastAsia="es-MX"/>
              </w:rPr>
            </w:pPr>
            <w:r>
              <w:rPr>
                <w:rFonts w:ascii="Calibri" w:hAnsi="Calibri" w:cs="Calibri"/>
                <w:color w:val="000000"/>
                <w:sz w:val="16"/>
                <w:szCs w:val="16"/>
                <w:lang w:val="es-MX" w:eastAsia="es-MX"/>
              </w:rPr>
              <w:t>Comisiones de la deuda pública interna</w:t>
            </w:r>
          </w:p>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779"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364"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031"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216"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080"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945"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809"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394" w:type="dxa"/>
            <w:tcBorders>
              <w:top w:val="nil"/>
              <w:left w:val="nil"/>
              <w:bottom w:val="single" w:sz="4" w:space="0" w:color="808080"/>
              <w:right w:val="single" w:sz="4" w:space="0" w:color="808080"/>
            </w:tcBorders>
            <w:shd w:val="clear" w:color="auto" w:fill="FFE6CB"/>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r>
      <w:tr w:rsidR="00B80B4D" w:rsidTr="00B80B4D">
        <w:trPr>
          <w:trHeight w:val="690"/>
        </w:trPr>
        <w:tc>
          <w:tcPr>
            <w:tcW w:w="620" w:type="dxa"/>
            <w:tcBorders>
              <w:top w:val="nil"/>
              <w:left w:val="single" w:sz="8" w:space="0" w:color="808080"/>
              <w:bottom w:val="single" w:sz="4" w:space="0" w:color="808080"/>
              <w:right w:val="single" w:sz="4" w:space="0" w:color="808080"/>
            </w:tcBorders>
            <w:noWrap/>
            <w:vAlign w:val="center"/>
            <w:hideMark/>
          </w:tcPr>
          <w:p w:rsidR="00B80B4D" w:rsidRDefault="00B80B4D">
            <w:pPr>
              <w:spacing w:line="276" w:lineRule="auto"/>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932</w:t>
            </w:r>
          </w:p>
        </w:tc>
        <w:tc>
          <w:tcPr>
            <w:tcW w:w="1327" w:type="dxa"/>
            <w:tcBorders>
              <w:top w:val="nil"/>
              <w:left w:val="nil"/>
              <w:bottom w:val="single" w:sz="4" w:space="0" w:color="808080"/>
              <w:right w:val="single" w:sz="4" w:space="0" w:color="808080"/>
            </w:tcBorders>
            <w:vAlign w:val="center"/>
            <w:hideMark/>
          </w:tcPr>
          <w:p w:rsidR="00B80B4D" w:rsidRDefault="00B80B4D">
            <w:pPr>
              <w:spacing w:line="276" w:lineRule="auto"/>
              <w:rPr>
                <w:rFonts w:ascii="Calibri" w:hAnsi="Calibri" w:cs="Calibri"/>
                <w:color w:val="000000"/>
                <w:sz w:val="16"/>
                <w:szCs w:val="16"/>
                <w:lang w:val="es-MX" w:eastAsia="es-MX"/>
              </w:rPr>
            </w:pPr>
            <w:r>
              <w:rPr>
                <w:rFonts w:ascii="Calibri" w:hAnsi="Calibri" w:cs="Calibri"/>
                <w:color w:val="000000"/>
                <w:sz w:val="16"/>
                <w:szCs w:val="16"/>
                <w:lang w:val="es-MX" w:eastAsia="es-MX"/>
              </w:rPr>
              <w:t>Comisiones de la deuda pública externa</w:t>
            </w:r>
          </w:p>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779"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364"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031"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216"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080"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945"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809"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394" w:type="dxa"/>
            <w:tcBorders>
              <w:top w:val="nil"/>
              <w:left w:val="nil"/>
              <w:bottom w:val="single" w:sz="4" w:space="0" w:color="808080"/>
              <w:right w:val="single" w:sz="4" w:space="0" w:color="808080"/>
            </w:tcBorders>
            <w:shd w:val="clear" w:color="auto" w:fill="FFE6CB"/>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r>
      <w:tr w:rsidR="00B80B4D" w:rsidTr="00B80B4D">
        <w:trPr>
          <w:trHeight w:val="446"/>
        </w:trPr>
        <w:tc>
          <w:tcPr>
            <w:tcW w:w="620" w:type="dxa"/>
            <w:tcBorders>
              <w:top w:val="nil"/>
              <w:left w:val="single" w:sz="8" w:space="0" w:color="808080"/>
              <w:bottom w:val="single" w:sz="4" w:space="0" w:color="808080"/>
              <w:right w:val="single" w:sz="4" w:space="0" w:color="808080"/>
            </w:tcBorders>
            <w:shd w:val="clear" w:color="auto" w:fill="FFF2D4"/>
            <w:noWrap/>
            <w:vAlign w:val="center"/>
            <w:hideMark/>
          </w:tcPr>
          <w:p w:rsidR="00B80B4D" w:rsidRDefault="00B80B4D">
            <w:pPr>
              <w:spacing w:line="276" w:lineRule="auto"/>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9400</w:t>
            </w:r>
          </w:p>
        </w:tc>
        <w:tc>
          <w:tcPr>
            <w:tcW w:w="1327" w:type="dxa"/>
            <w:tcBorders>
              <w:top w:val="nil"/>
              <w:left w:val="nil"/>
              <w:bottom w:val="single" w:sz="4" w:space="0" w:color="808080"/>
              <w:right w:val="single" w:sz="4" w:space="0" w:color="808080"/>
            </w:tcBorders>
            <w:shd w:val="clear" w:color="auto" w:fill="FFF2D4"/>
            <w:vAlign w:val="center"/>
            <w:hideMark/>
          </w:tcPr>
          <w:p w:rsidR="00B80B4D" w:rsidRDefault="00B80B4D">
            <w:pPr>
              <w:spacing w:line="276" w:lineRule="auto"/>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GASTOS DE LA DEUDA PÚBLICA</w:t>
            </w:r>
          </w:p>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lastRenderedPageBreak/>
              <w:t xml:space="preserve">                        - </w:t>
            </w:r>
          </w:p>
        </w:tc>
        <w:tc>
          <w:tcPr>
            <w:tcW w:w="779"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lastRenderedPageBreak/>
              <w:t xml:space="preserve">                         - </w:t>
            </w:r>
          </w:p>
        </w:tc>
        <w:tc>
          <w:tcPr>
            <w:tcW w:w="1364"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031"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216"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080"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945"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809"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394"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r>
      <w:tr w:rsidR="00B80B4D" w:rsidTr="00B80B4D">
        <w:trPr>
          <w:trHeight w:val="494"/>
        </w:trPr>
        <w:tc>
          <w:tcPr>
            <w:tcW w:w="620" w:type="dxa"/>
            <w:tcBorders>
              <w:top w:val="nil"/>
              <w:left w:val="single" w:sz="8" w:space="0" w:color="808080"/>
              <w:bottom w:val="single" w:sz="4" w:space="0" w:color="808080"/>
              <w:right w:val="single" w:sz="4" w:space="0" w:color="808080"/>
            </w:tcBorders>
            <w:noWrap/>
            <w:vAlign w:val="center"/>
            <w:hideMark/>
          </w:tcPr>
          <w:p w:rsidR="00B80B4D" w:rsidRDefault="00B80B4D">
            <w:pPr>
              <w:spacing w:line="276" w:lineRule="auto"/>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lastRenderedPageBreak/>
              <w:t>941</w:t>
            </w:r>
          </w:p>
        </w:tc>
        <w:tc>
          <w:tcPr>
            <w:tcW w:w="1327" w:type="dxa"/>
            <w:tcBorders>
              <w:top w:val="nil"/>
              <w:left w:val="nil"/>
              <w:bottom w:val="single" w:sz="4" w:space="0" w:color="808080"/>
              <w:right w:val="single" w:sz="4" w:space="0" w:color="808080"/>
            </w:tcBorders>
            <w:vAlign w:val="center"/>
            <w:hideMark/>
          </w:tcPr>
          <w:p w:rsidR="00B80B4D" w:rsidRDefault="00B80B4D">
            <w:pPr>
              <w:spacing w:line="276" w:lineRule="auto"/>
              <w:rPr>
                <w:rFonts w:ascii="Calibri" w:hAnsi="Calibri" w:cs="Calibri"/>
                <w:color w:val="000000"/>
                <w:sz w:val="16"/>
                <w:szCs w:val="16"/>
                <w:lang w:val="es-MX" w:eastAsia="es-MX"/>
              </w:rPr>
            </w:pPr>
            <w:r>
              <w:rPr>
                <w:rFonts w:ascii="Calibri" w:hAnsi="Calibri" w:cs="Calibri"/>
                <w:color w:val="000000"/>
                <w:sz w:val="16"/>
                <w:szCs w:val="16"/>
                <w:lang w:val="es-MX" w:eastAsia="es-MX"/>
              </w:rPr>
              <w:t>Gastos de la deuda pública interna</w:t>
            </w:r>
          </w:p>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779"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364"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031"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216"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080"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945"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809"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394" w:type="dxa"/>
            <w:tcBorders>
              <w:top w:val="nil"/>
              <w:left w:val="nil"/>
              <w:bottom w:val="single" w:sz="4" w:space="0" w:color="808080"/>
              <w:right w:val="single" w:sz="4" w:space="0" w:color="808080"/>
            </w:tcBorders>
            <w:shd w:val="clear" w:color="auto" w:fill="FFE6CB"/>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r>
      <w:tr w:rsidR="00B80B4D" w:rsidTr="00B80B4D">
        <w:trPr>
          <w:trHeight w:val="548"/>
        </w:trPr>
        <w:tc>
          <w:tcPr>
            <w:tcW w:w="620" w:type="dxa"/>
            <w:tcBorders>
              <w:top w:val="nil"/>
              <w:left w:val="single" w:sz="8" w:space="0" w:color="808080"/>
              <w:bottom w:val="single" w:sz="4" w:space="0" w:color="808080"/>
              <w:right w:val="single" w:sz="4" w:space="0" w:color="808080"/>
            </w:tcBorders>
            <w:noWrap/>
            <w:vAlign w:val="center"/>
            <w:hideMark/>
          </w:tcPr>
          <w:p w:rsidR="00B80B4D" w:rsidRDefault="00B80B4D">
            <w:pPr>
              <w:spacing w:line="276" w:lineRule="auto"/>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942</w:t>
            </w:r>
          </w:p>
        </w:tc>
        <w:tc>
          <w:tcPr>
            <w:tcW w:w="1327" w:type="dxa"/>
            <w:tcBorders>
              <w:top w:val="nil"/>
              <w:left w:val="nil"/>
              <w:bottom w:val="single" w:sz="4" w:space="0" w:color="808080"/>
              <w:right w:val="single" w:sz="4" w:space="0" w:color="808080"/>
            </w:tcBorders>
            <w:vAlign w:val="center"/>
            <w:hideMark/>
          </w:tcPr>
          <w:p w:rsidR="00B80B4D" w:rsidRDefault="00B80B4D">
            <w:pPr>
              <w:spacing w:line="276" w:lineRule="auto"/>
              <w:rPr>
                <w:rFonts w:ascii="Calibri" w:hAnsi="Calibri" w:cs="Calibri"/>
                <w:color w:val="000000"/>
                <w:sz w:val="16"/>
                <w:szCs w:val="16"/>
                <w:lang w:val="es-MX" w:eastAsia="es-MX"/>
              </w:rPr>
            </w:pPr>
            <w:r>
              <w:rPr>
                <w:rFonts w:ascii="Calibri" w:hAnsi="Calibri" w:cs="Calibri"/>
                <w:color w:val="000000"/>
                <w:sz w:val="16"/>
                <w:szCs w:val="16"/>
                <w:lang w:val="es-MX" w:eastAsia="es-MX"/>
              </w:rPr>
              <w:t>Gastos de la deuda  pública externa</w:t>
            </w:r>
          </w:p>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779"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364"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031"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216"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080"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945"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809"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394" w:type="dxa"/>
            <w:tcBorders>
              <w:top w:val="nil"/>
              <w:left w:val="nil"/>
              <w:bottom w:val="single" w:sz="4" w:space="0" w:color="808080"/>
              <w:right w:val="single" w:sz="4" w:space="0" w:color="808080"/>
            </w:tcBorders>
            <w:shd w:val="clear" w:color="auto" w:fill="FFE6CB"/>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r>
      <w:tr w:rsidR="00B80B4D" w:rsidTr="00B80B4D">
        <w:trPr>
          <w:trHeight w:val="374"/>
        </w:trPr>
        <w:tc>
          <w:tcPr>
            <w:tcW w:w="620" w:type="dxa"/>
            <w:tcBorders>
              <w:top w:val="nil"/>
              <w:left w:val="single" w:sz="8" w:space="0" w:color="808080"/>
              <w:bottom w:val="single" w:sz="4" w:space="0" w:color="808080"/>
              <w:right w:val="single" w:sz="4" w:space="0" w:color="808080"/>
            </w:tcBorders>
            <w:shd w:val="clear" w:color="auto" w:fill="FFF2D4"/>
            <w:noWrap/>
            <w:vAlign w:val="center"/>
            <w:hideMark/>
          </w:tcPr>
          <w:p w:rsidR="00B80B4D" w:rsidRDefault="00B80B4D">
            <w:pPr>
              <w:spacing w:line="276" w:lineRule="auto"/>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9500</w:t>
            </w:r>
          </w:p>
        </w:tc>
        <w:tc>
          <w:tcPr>
            <w:tcW w:w="1327" w:type="dxa"/>
            <w:tcBorders>
              <w:top w:val="nil"/>
              <w:left w:val="nil"/>
              <w:bottom w:val="single" w:sz="4" w:space="0" w:color="808080"/>
              <w:right w:val="single" w:sz="4" w:space="0" w:color="808080"/>
            </w:tcBorders>
            <w:shd w:val="clear" w:color="auto" w:fill="FFF2D4"/>
            <w:vAlign w:val="center"/>
            <w:hideMark/>
          </w:tcPr>
          <w:p w:rsidR="00B80B4D" w:rsidRDefault="00B80B4D">
            <w:pPr>
              <w:spacing w:line="276" w:lineRule="auto"/>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COSTO POR COBERTURAS</w:t>
            </w:r>
          </w:p>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779"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364"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031"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216"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080"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945"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809"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394"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r>
      <w:tr w:rsidR="00B80B4D" w:rsidTr="00B80B4D">
        <w:trPr>
          <w:trHeight w:val="299"/>
        </w:trPr>
        <w:tc>
          <w:tcPr>
            <w:tcW w:w="620" w:type="dxa"/>
            <w:tcBorders>
              <w:top w:val="nil"/>
              <w:left w:val="single" w:sz="8" w:space="0" w:color="808080"/>
              <w:bottom w:val="single" w:sz="4" w:space="0" w:color="808080"/>
              <w:right w:val="single" w:sz="4" w:space="0" w:color="808080"/>
            </w:tcBorders>
            <w:noWrap/>
            <w:vAlign w:val="center"/>
            <w:hideMark/>
          </w:tcPr>
          <w:p w:rsidR="00B80B4D" w:rsidRDefault="00B80B4D">
            <w:pPr>
              <w:spacing w:line="276" w:lineRule="auto"/>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951</w:t>
            </w:r>
          </w:p>
        </w:tc>
        <w:tc>
          <w:tcPr>
            <w:tcW w:w="1327" w:type="dxa"/>
            <w:tcBorders>
              <w:top w:val="nil"/>
              <w:left w:val="nil"/>
              <w:bottom w:val="single" w:sz="4" w:space="0" w:color="808080"/>
              <w:right w:val="single" w:sz="4" w:space="0" w:color="808080"/>
            </w:tcBorders>
            <w:vAlign w:val="center"/>
            <w:hideMark/>
          </w:tcPr>
          <w:p w:rsidR="00B80B4D" w:rsidRDefault="00B80B4D">
            <w:pPr>
              <w:spacing w:line="276" w:lineRule="auto"/>
              <w:rPr>
                <w:rFonts w:ascii="Calibri" w:hAnsi="Calibri" w:cs="Calibri"/>
                <w:color w:val="000000"/>
                <w:sz w:val="16"/>
                <w:szCs w:val="16"/>
                <w:lang w:val="es-MX" w:eastAsia="es-MX"/>
              </w:rPr>
            </w:pPr>
            <w:r>
              <w:rPr>
                <w:rFonts w:ascii="Calibri" w:hAnsi="Calibri" w:cs="Calibri"/>
                <w:color w:val="000000"/>
                <w:sz w:val="16"/>
                <w:szCs w:val="16"/>
                <w:lang w:val="es-MX" w:eastAsia="es-MX"/>
              </w:rPr>
              <w:t>Costos por coberturas</w:t>
            </w:r>
          </w:p>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779"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364"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031"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216"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080"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945"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809"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394" w:type="dxa"/>
            <w:tcBorders>
              <w:top w:val="nil"/>
              <w:left w:val="nil"/>
              <w:bottom w:val="single" w:sz="4" w:space="0" w:color="808080"/>
              <w:right w:val="single" w:sz="4" w:space="0" w:color="808080"/>
            </w:tcBorders>
            <w:shd w:val="clear" w:color="auto" w:fill="FFE6CB"/>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r>
      <w:tr w:rsidR="00B80B4D" w:rsidTr="00B80B4D">
        <w:trPr>
          <w:trHeight w:val="288"/>
        </w:trPr>
        <w:tc>
          <w:tcPr>
            <w:tcW w:w="620" w:type="dxa"/>
            <w:tcBorders>
              <w:top w:val="nil"/>
              <w:left w:val="single" w:sz="8" w:space="0" w:color="808080"/>
              <w:bottom w:val="single" w:sz="4" w:space="0" w:color="808080"/>
              <w:right w:val="single" w:sz="4" w:space="0" w:color="808080"/>
            </w:tcBorders>
            <w:shd w:val="clear" w:color="auto" w:fill="FFF2D4"/>
            <w:noWrap/>
            <w:vAlign w:val="center"/>
            <w:hideMark/>
          </w:tcPr>
          <w:p w:rsidR="00B80B4D" w:rsidRDefault="00B80B4D">
            <w:pPr>
              <w:spacing w:line="276" w:lineRule="auto"/>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9600</w:t>
            </w:r>
          </w:p>
        </w:tc>
        <w:tc>
          <w:tcPr>
            <w:tcW w:w="1327" w:type="dxa"/>
            <w:tcBorders>
              <w:top w:val="nil"/>
              <w:left w:val="nil"/>
              <w:bottom w:val="single" w:sz="4" w:space="0" w:color="808080"/>
              <w:right w:val="single" w:sz="4" w:space="0" w:color="808080"/>
            </w:tcBorders>
            <w:shd w:val="clear" w:color="auto" w:fill="FFF2D4"/>
            <w:vAlign w:val="center"/>
            <w:hideMark/>
          </w:tcPr>
          <w:p w:rsidR="00B80B4D" w:rsidRDefault="00B80B4D">
            <w:pPr>
              <w:spacing w:line="276" w:lineRule="auto"/>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APOYOS FINANCIEROS</w:t>
            </w:r>
          </w:p>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779"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364"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031"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216"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080"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945"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809"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c>
          <w:tcPr>
            <w:tcW w:w="1394" w:type="dxa"/>
            <w:tcBorders>
              <w:top w:val="nil"/>
              <w:left w:val="nil"/>
              <w:bottom w:val="single" w:sz="4" w:space="0" w:color="808080"/>
              <w:right w:val="single" w:sz="4" w:space="0" w:color="808080"/>
            </w:tcBorders>
            <w:shd w:val="clear" w:color="auto" w:fill="FFF2D4"/>
            <w:noWrap/>
            <w:vAlign w:val="center"/>
            <w:hideMark/>
          </w:tcPr>
          <w:p w:rsidR="00B80B4D" w:rsidRDefault="00B80B4D">
            <w:pPr>
              <w:spacing w:line="276" w:lineRule="auto"/>
              <w:jc w:val="right"/>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 xml:space="preserve">                                - </w:t>
            </w:r>
          </w:p>
        </w:tc>
      </w:tr>
      <w:tr w:rsidR="00B80B4D" w:rsidTr="00B80B4D">
        <w:trPr>
          <w:trHeight w:val="656"/>
        </w:trPr>
        <w:tc>
          <w:tcPr>
            <w:tcW w:w="620" w:type="dxa"/>
            <w:tcBorders>
              <w:top w:val="nil"/>
              <w:left w:val="single" w:sz="8" w:space="0" w:color="808080"/>
              <w:bottom w:val="single" w:sz="4" w:space="0" w:color="808080"/>
              <w:right w:val="single" w:sz="4" w:space="0" w:color="808080"/>
            </w:tcBorders>
            <w:noWrap/>
            <w:vAlign w:val="center"/>
            <w:hideMark/>
          </w:tcPr>
          <w:p w:rsidR="00B80B4D" w:rsidRDefault="00B80B4D">
            <w:pPr>
              <w:spacing w:line="276" w:lineRule="auto"/>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961</w:t>
            </w:r>
          </w:p>
        </w:tc>
        <w:tc>
          <w:tcPr>
            <w:tcW w:w="1327" w:type="dxa"/>
            <w:tcBorders>
              <w:top w:val="nil"/>
              <w:left w:val="nil"/>
              <w:bottom w:val="single" w:sz="4" w:space="0" w:color="808080"/>
              <w:right w:val="single" w:sz="4" w:space="0" w:color="808080"/>
            </w:tcBorders>
            <w:vAlign w:val="center"/>
            <w:hideMark/>
          </w:tcPr>
          <w:p w:rsidR="00B80B4D" w:rsidRDefault="00B80B4D">
            <w:pPr>
              <w:spacing w:line="276" w:lineRule="auto"/>
              <w:rPr>
                <w:rFonts w:ascii="Calibri" w:hAnsi="Calibri" w:cs="Calibri"/>
                <w:color w:val="000000"/>
                <w:sz w:val="16"/>
                <w:szCs w:val="16"/>
                <w:lang w:val="es-MX" w:eastAsia="es-MX"/>
              </w:rPr>
            </w:pPr>
            <w:r>
              <w:rPr>
                <w:rFonts w:ascii="Calibri" w:hAnsi="Calibri" w:cs="Calibri"/>
                <w:color w:val="000000"/>
                <w:sz w:val="16"/>
                <w:szCs w:val="16"/>
                <w:lang w:val="es-MX" w:eastAsia="es-MX"/>
              </w:rPr>
              <w:t>Apoyos a intermediarios financieros</w:t>
            </w:r>
          </w:p>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779"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364"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031"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216"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080"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945"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809"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394" w:type="dxa"/>
            <w:tcBorders>
              <w:top w:val="nil"/>
              <w:left w:val="nil"/>
              <w:bottom w:val="single" w:sz="4" w:space="0" w:color="808080"/>
              <w:right w:val="single" w:sz="4" w:space="0" w:color="808080"/>
            </w:tcBorders>
            <w:shd w:val="clear" w:color="auto" w:fill="FFE6CB"/>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r>
      <w:tr w:rsidR="00B80B4D" w:rsidTr="00B80B4D">
        <w:trPr>
          <w:trHeight w:val="274"/>
        </w:trPr>
        <w:tc>
          <w:tcPr>
            <w:tcW w:w="620" w:type="dxa"/>
            <w:tcBorders>
              <w:top w:val="nil"/>
              <w:left w:val="single" w:sz="8" w:space="0" w:color="808080"/>
              <w:bottom w:val="single" w:sz="4" w:space="0" w:color="808080"/>
              <w:right w:val="single" w:sz="4" w:space="0" w:color="808080"/>
            </w:tcBorders>
            <w:noWrap/>
            <w:vAlign w:val="center"/>
            <w:hideMark/>
          </w:tcPr>
          <w:p w:rsidR="00B80B4D" w:rsidRDefault="00B80B4D">
            <w:pPr>
              <w:spacing w:line="276" w:lineRule="auto"/>
              <w:jc w:val="center"/>
              <w:rPr>
                <w:rFonts w:ascii="Calibri" w:hAnsi="Calibri" w:cs="Calibri"/>
                <w:color w:val="000000"/>
                <w:sz w:val="14"/>
                <w:szCs w:val="14"/>
                <w:lang w:val="es-MX" w:eastAsia="es-MX"/>
              </w:rPr>
            </w:pPr>
            <w:r>
              <w:rPr>
                <w:rFonts w:ascii="Calibri" w:hAnsi="Calibri" w:cs="Calibri"/>
                <w:color w:val="000000"/>
                <w:sz w:val="14"/>
                <w:szCs w:val="14"/>
                <w:lang w:val="es-MX" w:eastAsia="es-MX"/>
              </w:rPr>
              <w:t>962</w:t>
            </w:r>
          </w:p>
        </w:tc>
        <w:tc>
          <w:tcPr>
            <w:tcW w:w="1327" w:type="dxa"/>
            <w:tcBorders>
              <w:top w:val="nil"/>
              <w:left w:val="nil"/>
              <w:bottom w:val="single" w:sz="4" w:space="0" w:color="808080"/>
              <w:right w:val="single" w:sz="4" w:space="0" w:color="808080"/>
            </w:tcBorders>
            <w:vAlign w:val="center"/>
            <w:hideMark/>
          </w:tcPr>
          <w:p w:rsidR="00B80B4D" w:rsidRDefault="00B80B4D">
            <w:pPr>
              <w:spacing w:line="276" w:lineRule="auto"/>
              <w:rPr>
                <w:rFonts w:ascii="Calibri" w:hAnsi="Calibri" w:cs="Calibri"/>
                <w:color w:val="000000"/>
                <w:sz w:val="14"/>
                <w:szCs w:val="14"/>
                <w:lang w:val="es-MX" w:eastAsia="es-MX"/>
              </w:rPr>
            </w:pPr>
            <w:r>
              <w:rPr>
                <w:rFonts w:ascii="Calibri" w:hAnsi="Calibri" w:cs="Calibri"/>
                <w:color w:val="000000"/>
                <w:sz w:val="14"/>
                <w:szCs w:val="14"/>
                <w:lang w:val="es-MX" w:eastAsia="es-MX"/>
              </w:rPr>
              <w:t>Apoyos a ahorradores y deudores del Sistema Financiero Nacional</w:t>
            </w:r>
          </w:p>
          <w:p w:rsidR="00B80B4D" w:rsidRDefault="00B80B4D">
            <w:pPr>
              <w:spacing w:line="276" w:lineRule="auto"/>
              <w:jc w:val="right"/>
              <w:rPr>
                <w:rFonts w:ascii="Calibri" w:hAnsi="Calibri" w:cs="Calibri"/>
                <w:color w:val="000000"/>
                <w:sz w:val="14"/>
                <w:szCs w:val="14"/>
                <w:lang w:val="es-MX" w:eastAsia="es-MX"/>
              </w:rPr>
            </w:pPr>
            <w:r>
              <w:rPr>
                <w:rFonts w:ascii="Calibri" w:hAnsi="Calibri" w:cs="Calibri"/>
                <w:color w:val="000000"/>
                <w:sz w:val="14"/>
                <w:szCs w:val="14"/>
                <w:lang w:val="es-MX" w:eastAsia="es-MX"/>
              </w:rPr>
              <w:t xml:space="preserve">                        - </w:t>
            </w:r>
          </w:p>
        </w:tc>
        <w:tc>
          <w:tcPr>
            <w:tcW w:w="779"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364"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031"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216"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080"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945"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809" w:type="dxa"/>
            <w:tcBorders>
              <w:top w:val="nil"/>
              <w:left w:val="nil"/>
              <w:bottom w:val="single" w:sz="4" w:space="0" w:color="808080"/>
              <w:right w:val="single" w:sz="4" w:space="0" w:color="808080"/>
            </w:tcBorders>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c>
          <w:tcPr>
            <w:tcW w:w="1394" w:type="dxa"/>
            <w:tcBorders>
              <w:top w:val="nil"/>
              <w:left w:val="nil"/>
              <w:bottom w:val="single" w:sz="4" w:space="0" w:color="808080"/>
              <w:right w:val="single" w:sz="4" w:space="0" w:color="808080"/>
            </w:tcBorders>
            <w:shd w:val="clear" w:color="auto" w:fill="FFE6CB"/>
            <w:noWrap/>
            <w:vAlign w:val="center"/>
            <w:hideMark/>
          </w:tcPr>
          <w:p w:rsidR="00B80B4D" w:rsidRDefault="00B80B4D">
            <w:pPr>
              <w:spacing w:line="276" w:lineRule="auto"/>
              <w:jc w:val="right"/>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 </w:t>
            </w:r>
          </w:p>
        </w:tc>
      </w:tr>
    </w:tbl>
    <w:p w:rsidR="00B80B4D" w:rsidRDefault="00B80B4D" w:rsidP="00B80B4D">
      <w:pPr>
        <w:spacing w:after="200" w:line="276" w:lineRule="auto"/>
        <w:jc w:val="both"/>
        <w:rPr>
          <w:rStyle w:val="collapseomatic"/>
          <w:rFonts w:ascii="Arial" w:hAnsi="Arial" w:cs="Arial"/>
          <w:bCs/>
          <w:color w:val="444444"/>
          <w:bdr w:val="none" w:sz="0" w:space="0" w:color="auto" w:frame="1"/>
          <w:shd w:val="clear" w:color="auto" w:fill="FFFFFF"/>
          <w:lang w:val="es-MX"/>
        </w:rPr>
      </w:pPr>
    </w:p>
    <w:p w:rsidR="00B80B4D" w:rsidRDefault="00B80B4D" w:rsidP="00B80B4D">
      <w:pPr>
        <w:jc w:val="both"/>
      </w:pPr>
      <w:r>
        <w:rPr>
          <w:rFonts w:ascii="Arial" w:eastAsiaTheme="minorHAnsi" w:hAnsi="Arial" w:cs="Arial"/>
          <w:b/>
          <w:bCs/>
          <w:color w:val="000000"/>
          <w:lang w:val="es-MX" w:eastAsia="en-US"/>
        </w:rPr>
        <w:t xml:space="preserve">Fundamentación: </w:t>
      </w:r>
      <w:r>
        <w:rPr>
          <w:rFonts w:ascii="Arial" w:eastAsiaTheme="minorHAnsi" w:hAnsi="Arial" w:cs="Arial"/>
          <w:bCs/>
          <w:color w:val="000000"/>
          <w:lang w:val="es-MX" w:eastAsia="en-US"/>
        </w:rPr>
        <w:t>A</w:t>
      </w:r>
      <w:r>
        <w:rPr>
          <w:rFonts w:ascii="Arial" w:eastAsiaTheme="minorHAnsi" w:hAnsi="Arial" w:cs="Arial"/>
          <w:color w:val="000000"/>
          <w:lang w:val="es-MX" w:eastAsia="en-US"/>
        </w:rPr>
        <w:t xml:space="preserve">rtículos 5 de la Ley de Deuda Pública del Estado de Jalisco y sus Municipios, </w:t>
      </w:r>
      <w:r>
        <w:rPr>
          <w:rFonts w:ascii="Arial" w:hAnsi="Arial" w:cs="Arial"/>
        </w:rPr>
        <w:t>en la Ley de Disciplina Financiera de las Entidades Federativas y los Municipios.</w:t>
      </w:r>
    </w:p>
    <w:p w:rsidR="00B80B4D" w:rsidRDefault="00B80B4D" w:rsidP="00B80B4D">
      <w:pPr>
        <w:autoSpaceDE w:val="0"/>
        <w:autoSpaceDN w:val="0"/>
        <w:adjustRightInd w:val="0"/>
        <w:jc w:val="both"/>
        <w:rPr>
          <w:rFonts w:ascii="Arial" w:eastAsiaTheme="minorHAnsi" w:hAnsi="Arial" w:cs="Arial"/>
          <w:color w:val="000000"/>
          <w:lang w:val="es-MX" w:eastAsia="en-US"/>
        </w:rPr>
      </w:pPr>
      <w:r>
        <w:rPr>
          <w:rFonts w:ascii="Arial" w:eastAsiaTheme="minorHAnsi" w:hAnsi="Arial" w:cs="Arial"/>
          <w:color w:val="000000"/>
          <w:lang w:val="es-MX" w:eastAsia="en-US"/>
        </w:rPr>
        <w:t xml:space="preserve">Articulo 8 Numeral 1 Fracción V Inciso w) de la Ley de Transparencia y Acceso a la Información Pública del Estado de Jalisco y sus Municipios </w:t>
      </w:r>
    </w:p>
    <w:p w:rsidR="00B80B4D" w:rsidRDefault="00B80B4D" w:rsidP="00B80B4D">
      <w:pPr>
        <w:autoSpaceDE w:val="0"/>
        <w:autoSpaceDN w:val="0"/>
        <w:adjustRightInd w:val="0"/>
        <w:jc w:val="both"/>
        <w:rPr>
          <w:rFonts w:ascii="Arial" w:eastAsiaTheme="minorHAnsi" w:hAnsi="Arial" w:cs="Arial"/>
          <w:color w:val="000000"/>
          <w:lang w:val="es-MX" w:eastAsia="en-US"/>
        </w:rPr>
      </w:pPr>
    </w:p>
    <w:p w:rsidR="00B80B4D" w:rsidRDefault="00B80B4D" w:rsidP="00B80B4D">
      <w:pPr>
        <w:autoSpaceDE w:val="0"/>
        <w:autoSpaceDN w:val="0"/>
        <w:adjustRightInd w:val="0"/>
        <w:jc w:val="both"/>
        <w:rPr>
          <w:rFonts w:ascii="Arial" w:eastAsiaTheme="minorHAnsi" w:hAnsi="Arial" w:cs="Arial"/>
          <w:lang w:val="es-MX" w:eastAsia="en-US"/>
        </w:rPr>
      </w:pPr>
      <w:r>
        <w:rPr>
          <w:rFonts w:ascii="Arial" w:eastAsiaTheme="minorHAnsi" w:hAnsi="Arial" w:cs="Arial"/>
          <w:b/>
          <w:color w:val="000000"/>
          <w:lang w:val="es-MX" w:eastAsia="en-US"/>
        </w:rPr>
        <w:t xml:space="preserve">Fuente: </w:t>
      </w:r>
      <w:r>
        <w:rPr>
          <w:rFonts w:ascii="Arial" w:eastAsiaTheme="minorHAnsi" w:hAnsi="Arial" w:cs="Arial"/>
          <w:lang w:val="es-MX" w:eastAsia="en-US"/>
        </w:rPr>
        <w:t xml:space="preserve">Presupuesto de Egresos para el Ejercicio Fiscal 2017, en el Municipio de Tonalá,                                                                                                                                                                                                                                                                                                                                                                                                                                                                                                                                                                                                                                                                                                                                                                                                                                                                                                                                                                                                                                                                                                                                                                                                                                                                                                                                                                                                                                                                                                                                                                                               Jalisco aprobado bajo Acuerdo No. 574 por el Pleno de este H. Ayuntamiento se publicó en Gaceta </w:t>
      </w:r>
      <w:proofErr w:type="spellStart"/>
      <w:r>
        <w:rPr>
          <w:rFonts w:ascii="Arial" w:eastAsiaTheme="minorHAnsi" w:hAnsi="Arial" w:cs="Arial"/>
          <w:lang w:val="es-MX" w:eastAsia="en-US"/>
        </w:rPr>
        <w:t>Tonallan</w:t>
      </w:r>
      <w:proofErr w:type="spellEnd"/>
      <w:r>
        <w:rPr>
          <w:rFonts w:ascii="Arial" w:eastAsiaTheme="minorHAnsi" w:hAnsi="Arial" w:cs="Arial"/>
          <w:lang w:val="es-MX" w:eastAsia="en-US"/>
        </w:rPr>
        <w:t xml:space="preserve">  de Diciembre 2016. </w:t>
      </w:r>
    </w:p>
    <w:p w:rsidR="00B80B4D" w:rsidRPr="00B80B4D" w:rsidRDefault="00B80B4D">
      <w:pPr>
        <w:rPr>
          <w:lang w:val="es-MX"/>
        </w:rPr>
      </w:pPr>
    </w:p>
    <w:sectPr w:rsidR="00B80B4D" w:rsidRPr="00B80B4D" w:rsidSect="00D44C74">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5CF" w:rsidRDefault="00C745CF" w:rsidP="00B80B4D">
      <w:r>
        <w:separator/>
      </w:r>
    </w:p>
  </w:endnote>
  <w:endnote w:type="continuationSeparator" w:id="0">
    <w:p w:rsidR="00C745CF" w:rsidRDefault="00C745CF" w:rsidP="00B80B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5CF" w:rsidRDefault="00C745CF" w:rsidP="00B80B4D">
      <w:r>
        <w:separator/>
      </w:r>
    </w:p>
  </w:footnote>
  <w:footnote w:type="continuationSeparator" w:id="0">
    <w:p w:rsidR="00C745CF" w:rsidRDefault="00C745CF" w:rsidP="00B80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4D" w:rsidRDefault="00B80B4D">
    <w:pPr>
      <w:pStyle w:val="Encabezado"/>
    </w:pPr>
    <w:r>
      <w:rPr>
        <w:noProof/>
        <w:lang w:eastAsia="es-MX"/>
      </w:rPr>
      <w:drawing>
        <wp:inline distT="0" distB="0" distL="0" distR="0">
          <wp:extent cx="781050" cy="1112996"/>
          <wp:effectExtent l="19050" t="0" r="0" b="0"/>
          <wp:docPr id="1" name="Imagen 1" descr="400px-Escudo_de_Ton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Escudo_de_Tonala.svg"/>
                  <pic:cNvPicPr>
                    <a:picLocks noChangeAspect="1" noChangeArrowheads="1"/>
                  </pic:cNvPicPr>
                </pic:nvPicPr>
                <pic:blipFill>
                  <a:blip r:embed="rId1"/>
                  <a:srcRect/>
                  <a:stretch>
                    <a:fillRect/>
                  </a:stretch>
                </pic:blipFill>
                <pic:spPr bwMode="auto">
                  <a:xfrm>
                    <a:off x="0" y="0"/>
                    <a:ext cx="781050" cy="1112996"/>
                  </a:xfrm>
                  <a:prstGeom prst="rect">
                    <a:avLst/>
                  </a:prstGeom>
                  <a:noFill/>
                  <a:ln w="9525">
                    <a:noFill/>
                    <a:miter lim="800000"/>
                    <a:headEnd/>
                    <a:tailEnd/>
                  </a:ln>
                </pic:spPr>
              </pic:pic>
            </a:graphicData>
          </a:graphic>
        </wp:inline>
      </w:drawing>
    </w:r>
    <w:r>
      <w:t xml:space="preserve">    </w:t>
    </w:r>
    <w:r>
      <w:rPr>
        <w:noProof/>
        <w:lang w:eastAsia="es-MX"/>
      </w:rPr>
      <w:t xml:space="preserve">                                                                                               </w:t>
    </w:r>
    <w:r>
      <w:rPr>
        <w:noProof/>
        <w:lang w:eastAsia="es-MX"/>
      </w:rPr>
      <w:drawing>
        <wp:inline distT="0" distB="0" distL="0" distR="0">
          <wp:extent cx="1619250" cy="1092994"/>
          <wp:effectExtent l="0" t="0" r="0" b="0"/>
          <wp:docPr id="4" name="Imagen 4" descr="Gobierno de Tona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ierno de Tonalá"/>
                  <pic:cNvPicPr>
                    <a:picLocks noChangeAspect="1" noChangeArrowheads="1"/>
                  </pic:cNvPicPr>
                </pic:nvPicPr>
                <pic:blipFill>
                  <a:blip r:embed="rId2"/>
                  <a:srcRect/>
                  <a:stretch>
                    <a:fillRect/>
                  </a:stretch>
                </pic:blipFill>
                <pic:spPr bwMode="auto">
                  <a:xfrm>
                    <a:off x="0" y="0"/>
                    <a:ext cx="1619250" cy="109299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80B4D"/>
    <w:rsid w:val="0091206F"/>
    <w:rsid w:val="00B80B4D"/>
    <w:rsid w:val="00C745CF"/>
    <w:rsid w:val="00D44C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4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80B4D"/>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semiHidden/>
    <w:rsid w:val="00B80B4D"/>
  </w:style>
  <w:style w:type="paragraph" w:styleId="Piedepgina">
    <w:name w:val="footer"/>
    <w:basedOn w:val="Normal"/>
    <w:link w:val="PiedepginaCar"/>
    <w:uiPriority w:val="99"/>
    <w:semiHidden/>
    <w:unhideWhenUsed/>
    <w:rsid w:val="00B80B4D"/>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semiHidden/>
    <w:rsid w:val="00B80B4D"/>
  </w:style>
  <w:style w:type="paragraph" w:styleId="Textodeglobo">
    <w:name w:val="Balloon Text"/>
    <w:basedOn w:val="Normal"/>
    <w:link w:val="TextodegloboCar"/>
    <w:uiPriority w:val="99"/>
    <w:semiHidden/>
    <w:unhideWhenUsed/>
    <w:rsid w:val="00B80B4D"/>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B80B4D"/>
    <w:rPr>
      <w:rFonts w:ascii="Tahoma" w:hAnsi="Tahoma" w:cs="Tahoma"/>
      <w:sz w:val="16"/>
      <w:szCs w:val="16"/>
    </w:rPr>
  </w:style>
  <w:style w:type="character" w:styleId="Hipervnculo">
    <w:name w:val="Hyperlink"/>
    <w:basedOn w:val="Fuentedeprrafopredeter"/>
    <w:uiPriority w:val="99"/>
    <w:semiHidden/>
    <w:unhideWhenUsed/>
    <w:rsid w:val="00B80B4D"/>
    <w:rPr>
      <w:color w:val="0000FF" w:themeColor="hyperlink"/>
      <w:u w:val="single"/>
    </w:rPr>
  </w:style>
  <w:style w:type="character" w:customStyle="1" w:styleId="collapseomatic">
    <w:name w:val="collapseomatic"/>
    <w:basedOn w:val="Fuentedeprrafopredeter"/>
    <w:rsid w:val="00B80B4D"/>
  </w:style>
</w:styles>
</file>

<file path=word/webSettings.xml><?xml version="1.0" encoding="utf-8"?>
<w:webSettings xmlns:r="http://schemas.openxmlformats.org/officeDocument/2006/relationships" xmlns:w="http://schemas.openxmlformats.org/wordprocessingml/2006/main">
  <w:divs>
    <w:div w:id="14013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nala.gob.mx/portal/wp-content/uploads/2017/01/04-Egresos-Fuente-de-Financiamiento.pdf" TargetMode="External"/><Relationship Id="rId3" Type="http://schemas.openxmlformats.org/officeDocument/2006/relationships/webSettings" Target="webSettings.xml"/><Relationship Id="rId7" Type="http://schemas.openxmlformats.org/officeDocument/2006/relationships/hyperlink" Target="http://tonala.gob.mx/portal/wp-content/uploads/2017/01/04-Egresos-Fuente-de-Financiamiento.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nala.gob.mx/port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1121</Words>
  <Characters>6166</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2017-09-07T16:14:00Z</dcterms:created>
  <dcterms:modified xsi:type="dcterms:W3CDTF">2017-09-07T16:17:00Z</dcterms:modified>
</cp:coreProperties>
</file>