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74" w:rsidRDefault="00D44C74"/>
    <w:p w:rsidR="009A58C5" w:rsidRDefault="009A58C5" w:rsidP="009A58C5">
      <w:pPr>
        <w:spacing w:after="200" w:line="276" w:lineRule="auto"/>
        <w:jc w:val="both"/>
        <w:rPr>
          <w:rFonts w:ascii="Arial" w:eastAsiaTheme="minorHAnsi" w:hAnsi="Arial" w:cs="Arial"/>
          <w:b/>
          <w:bCs/>
          <w:lang w:val="es-MX" w:eastAsia="en-US"/>
        </w:rPr>
      </w:pPr>
      <w:r>
        <w:rPr>
          <w:rFonts w:ascii="Arial" w:eastAsiaTheme="minorHAnsi" w:hAnsi="Arial" w:cs="Arial"/>
          <w:b/>
          <w:bCs/>
          <w:lang w:val="es-MX" w:eastAsia="en-US"/>
        </w:rPr>
        <w:t>57. ¿Desglosa las tasas de contratación de la deuda pública?</w:t>
      </w:r>
    </w:p>
    <w:p w:rsidR="009A58C5" w:rsidRDefault="009A58C5" w:rsidP="009A58C5">
      <w:pPr>
        <w:autoSpaceDE w:val="0"/>
        <w:autoSpaceDN w:val="0"/>
        <w:adjustRightInd w:val="0"/>
        <w:jc w:val="both"/>
        <w:rPr>
          <w:rStyle w:val="collapseomatic"/>
          <w:color w:val="444444"/>
          <w:bdr w:val="none" w:sz="0" w:space="0" w:color="auto" w:frame="1"/>
          <w:shd w:val="clear" w:color="auto" w:fill="FFFFFF"/>
        </w:rPr>
      </w:pPr>
      <w:r>
        <w:rPr>
          <w:rFonts w:ascii="Arial" w:eastAsiaTheme="minorHAnsi" w:hAnsi="Arial" w:cs="Arial"/>
          <w:lang w:val="es-MX" w:eastAsia="en-US"/>
        </w:rPr>
        <w:t>Las tasas de contratación de la deuda pública se encuentran señaladas en las Generalidades de la Deuda Pública.</w:t>
      </w:r>
    </w:p>
    <w:p w:rsidR="009A58C5" w:rsidRDefault="009A58C5" w:rsidP="009A58C5">
      <w:pPr>
        <w:autoSpaceDE w:val="0"/>
        <w:autoSpaceDN w:val="0"/>
        <w:adjustRightInd w:val="0"/>
        <w:rPr>
          <w:rFonts w:eastAsiaTheme="minorHAnsi"/>
          <w:color w:val="000000"/>
          <w:lang w:eastAsia="en-US"/>
        </w:rPr>
      </w:pPr>
    </w:p>
    <w:p w:rsidR="009A58C5" w:rsidRDefault="009A58C5" w:rsidP="009A58C5">
      <w:pPr>
        <w:autoSpaceDE w:val="0"/>
        <w:autoSpaceDN w:val="0"/>
        <w:adjustRightInd w:val="0"/>
        <w:rPr>
          <w:rFonts w:ascii="Arial" w:eastAsiaTheme="minorHAnsi" w:hAnsi="Arial" w:cs="Arial"/>
          <w:color w:val="000000"/>
          <w:lang w:val="es-MX" w:eastAsia="en-US"/>
        </w:rPr>
      </w:pPr>
    </w:p>
    <w:p w:rsidR="009A58C5" w:rsidRDefault="009A58C5" w:rsidP="009A58C5">
      <w:pPr>
        <w:spacing w:after="200" w:line="276" w:lineRule="auto"/>
        <w:jc w:val="both"/>
        <w:rPr>
          <w:rStyle w:val="collapseomatic"/>
          <w:bCs/>
          <w:bdr w:val="none" w:sz="0" w:space="0" w:color="auto" w:frame="1"/>
          <w:shd w:val="clear" w:color="auto" w:fill="FFFFFF"/>
        </w:rPr>
      </w:pPr>
      <w:r>
        <w:rPr>
          <w:rFonts w:ascii="Arial" w:eastAsiaTheme="minorHAnsi" w:hAnsi="Arial" w:cs="Arial"/>
          <w:bCs/>
          <w:color w:val="000000"/>
          <w:lang w:val="es-MX" w:eastAsia="en-US"/>
        </w:rPr>
        <w:t xml:space="preserve">En la siguiente </w:t>
      </w:r>
      <w:r>
        <w:rPr>
          <w:rFonts w:ascii="Arial" w:eastAsiaTheme="minorHAnsi" w:hAnsi="Arial" w:cs="Arial"/>
          <w:b/>
          <w:bCs/>
          <w:color w:val="000000"/>
          <w:lang w:val="es-MX" w:eastAsia="en-US"/>
        </w:rPr>
        <w:t>ruta de acceso</w:t>
      </w:r>
      <w:r>
        <w:rPr>
          <w:rFonts w:ascii="Arial" w:eastAsiaTheme="minorHAnsi" w:hAnsi="Arial" w:cs="Arial"/>
          <w:bCs/>
          <w:color w:val="000000"/>
          <w:lang w:val="es-MX" w:eastAsia="en-US"/>
        </w:rPr>
        <w:t xml:space="preserve">: </w:t>
      </w:r>
      <w:hyperlink r:id="rId6" w:history="1">
        <w:r>
          <w:rPr>
            <w:rStyle w:val="Hipervnculo"/>
            <w:rFonts w:ascii="Arial" w:eastAsiaTheme="minorHAnsi" w:hAnsi="Arial" w:cs="Arial"/>
            <w:bCs/>
            <w:lang w:val="es-MX" w:eastAsia="en-US"/>
          </w:rPr>
          <w:t>http://tonala.gob.mx/portal/</w:t>
        </w:r>
      </w:hyperlink>
      <w:r>
        <w:rPr>
          <w:rFonts w:ascii="Arial" w:eastAsiaTheme="minorHAnsi" w:hAnsi="Arial" w:cs="Arial"/>
          <w:bCs/>
          <w:color w:val="000000"/>
          <w:lang w:val="es-MX" w:eastAsia="en-US"/>
        </w:rPr>
        <w:t xml:space="preserve"> Apartado de Transparencia- Información Fundamental- Articulo 8- Numeral 1 Fracción V- Inciso </w:t>
      </w:r>
      <w:r>
        <w:rPr>
          <w:rStyle w:val="collapseomatic"/>
          <w:rFonts w:ascii="Arial" w:hAnsi="Arial" w:cs="Arial"/>
          <w:bCs/>
          <w:bdr w:val="none" w:sz="0" w:space="0" w:color="auto" w:frame="1"/>
          <w:shd w:val="clear" w:color="auto" w:fill="FFFFFF"/>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 Año 2016- Deuda Diciembre</w:t>
      </w:r>
    </w:p>
    <w:p w:rsidR="009A58C5" w:rsidRDefault="009A58C5" w:rsidP="009A58C5">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9A58C5" w:rsidRDefault="009A58C5" w:rsidP="009A58C5">
      <w:pPr>
        <w:autoSpaceDE w:val="0"/>
        <w:autoSpaceDN w:val="0"/>
        <w:adjustRightInd w:val="0"/>
        <w:jc w:val="both"/>
        <w:rPr>
          <w:rStyle w:val="collapseomatic"/>
          <w:rFonts w:ascii="Arial" w:hAnsi="Arial" w:cs="Arial"/>
          <w:b/>
          <w:bCs/>
          <w:bdr w:val="none" w:sz="0" w:space="0" w:color="auto" w:frame="1"/>
          <w:shd w:val="clear" w:color="auto" w:fill="FFFFFF"/>
        </w:rPr>
      </w:pPr>
      <w:r>
        <w:rPr>
          <w:rStyle w:val="collapseomatic"/>
          <w:rFonts w:ascii="Arial" w:hAnsi="Arial" w:cs="Arial"/>
          <w:bCs/>
          <w:bdr w:val="none" w:sz="0" w:space="0" w:color="auto" w:frame="1"/>
          <w:shd w:val="clear" w:color="auto" w:fill="FFFFFF"/>
        </w:rPr>
        <w:t>Puede ser consultado directamente en el siguiente</w:t>
      </w:r>
      <w:r>
        <w:rPr>
          <w:rStyle w:val="collapseomatic"/>
          <w:rFonts w:ascii="Arial" w:hAnsi="Arial" w:cs="Arial"/>
          <w:b/>
          <w:bCs/>
          <w:bdr w:val="none" w:sz="0" w:space="0" w:color="auto" w:frame="1"/>
          <w:shd w:val="clear" w:color="auto" w:fill="FFFFFF"/>
        </w:rPr>
        <w:t xml:space="preserve"> Link:</w:t>
      </w:r>
    </w:p>
    <w:p w:rsidR="009A58C5" w:rsidRDefault="009A58C5" w:rsidP="009A58C5">
      <w:pPr>
        <w:autoSpaceDE w:val="0"/>
        <w:autoSpaceDN w:val="0"/>
        <w:adjustRightInd w:val="0"/>
        <w:jc w:val="both"/>
        <w:rPr>
          <w:rStyle w:val="collapseomatic"/>
          <w:rFonts w:ascii="Arial" w:hAnsi="Arial" w:cs="Arial"/>
          <w:bCs/>
          <w:color w:val="444444"/>
          <w:bdr w:val="none" w:sz="0" w:space="0" w:color="auto" w:frame="1"/>
          <w:shd w:val="clear" w:color="auto" w:fill="FFFFFF"/>
        </w:rPr>
      </w:pPr>
      <w:hyperlink r:id="rId7" w:history="1">
        <w:r>
          <w:rPr>
            <w:rStyle w:val="Hipervnculo"/>
            <w:rFonts w:ascii="Arial" w:hAnsi="Arial" w:cs="Arial"/>
            <w:bCs/>
            <w:bdr w:val="none" w:sz="0" w:space="0" w:color="auto" w:frame="1"/>
            <w:shd w:val="clear" w:color="auto" w:fill="FFFFFF"/>
          </w:rPr>
          <w:t>http://tonala.gob.mx/portal/wp-content/uploads/2017/02/Estado-de-la-Deuda-Pública-Diciembre-2016.pdf</w:t>
        </w:r>
      </w:hyperlink>
    </w:p>
    <w:p w:rsidR="009A58C5" w:rsidRDefault="009A58C5" w:rsidP="009A58C5">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9A58C5" w:rsidRDefault="009A58C5" w:rsidP="009A58C5">
      <w:pPr>
        <w:autoSpaceDE w:val="0"/>
        <w:autoSpaceDN w:val="0"/>
        <w:adjustRightInd w:val="0"/>
        <w:jc w:val="both"/>
        <w:rPr>
          <w:rStyle w:val="collapseomatic"/>
          <w:rFonts w:ascii="Arial" w:hAnsi="Arial" w:cs="Arial"/>
          <w:bCs/>
          <w:color w:val="444444"/>
          <w:bdr w:val="none" w:sz="0" w:space="0" w:color="auto" w:frame="1"/>
          <w:shd w:val="clear" w:color="auto" w:fill="FFFFFF"/>
        </w:rPr>
      </w:pPr>
    </w:p>
    <w:p w:rsidR="009A58C5" w:rsidRDefault="009A58C5" w:rsidP="009A58C5">
      <w:pPr>
        <w:autoSpaceDE w:val="0"/>
        <w:autoSpaceDN w:val="0"/>
        <w:adjustRightInd w:val="0"/>
        <w:jc w:val="both"/>
        <w:rPr>
          <w:rStyle w:val="collapseomatic"/>
          <w:rFonts w:ascii="Arial" w:hAnsi="Arial" w:cs="Arial"/>
          <w:bCs/>
          <w:color w:val="444444"/>
          <w:bdr w:val="none" w:sz="0" w:space="0" w:color="auto" w:frame="1"/>
          <w:shd w:val="clear" w:color="auto" w:fill="FFFFFF"/>
        </w:rPr>
      </w:pPr>
    </w:p>
    <w:tbl>
      <w:tblPr>
        <w:tblW w:w="7923" w:type="dxa"/>
        <w:tblInd w:w="15" w:type="dxa"/>
        <w:tblCellMar>
          <w:left w:w="70" w:type="dxa"/>
          <w:right w:w="70" w:type="dxa"/>
        </w:tblCellMar>
        <w:tblLook w:val="04A0"/>
      </w:tblPr>
      <w:tblGrid>
        <w:gridCol w:w="2684"/>
        <w:gridCol w:w="1295"/>
        <w:gridCol w:w="2035"/>
        <w:gridCol w:w="1909"/>
      </w:tblGrid>
      <w:tr w:rsidR="009A58C5" w:rsidTr="009A58C5">
        <w:trPr>
          <w:trHeight w:val="300"/>
        </w:trPr>
        <w:tc>
          <w:tcPr>
            <w:tcW w:w="2684" w:type="dxa"/>
            <w:tcBorders>
              <w:top w:val="nil"/>
              <w:left w:val="nil"/>
              <w:bottom w:val="single" w:sz="4" w:space="0" w:color="C5D9F1"/>
              <w:right w:val="nil"/>
            </w:tcBorders>
            <w:shd w:val="clear" w:color="auto" w:fill="D9D9D9"/>
            <w:noWrap/>
            <w:vAlign w:val="bottom"/>
            <w:hideMark/>
          </w:tcPr>
          <w:p w:rsidR="009A58C5" w:rsidRDefault="009A58C5">
            <w:pPr>
              <w:spacing w:line="276" w:lineRule="auto"/>
              <w:jc w:val="center"/>
              <w:rPr>
                <w:rFonts w:ascii="Calibri" w:hAnsi="Calibri" w:cs="Calibri"/>
                <w:b/>
                <w:bCs/>
                <w:color w:val="000000"/>
                <w:lang w:val="es-MX" w:eastAsia="es-MX"/>
              </w:rPr>
            </w:pPr>
            <w:r>
              <w:rPr>
                <w:rFonts w:ascii="Calibri" w:hAnsi="Calibri" w:cs="Calibri"/>
                <w:b/>
                <w:bCs/>
                <w:color w:val="000000"/>
                <w:sz w:val="22"/>
                <w:szCs w:val="22"/>
                <w:lang w:val="es-MX" w:eastAsia="es-MX"/>
              </w:rPr>
              <w:t>CONCEPTO</w:t>
            </w:r>
          </w:p>
        </w:tc>
        <w:tc>
          <w:tcPr>
            <w:tcW w:w="5239" w:type="dxa"/>
            <w:gridSpan w:val="3"/>
            <w:tcBorders>
              <w:top w:val="nil"/>
              <w:left w:val="nil"/>
              <w:bottom w:val="single" w:sz="4" w:space="0" w:color="C5D9F1"/>
              <w:right w:val="nil"/>
            </w:tcBorders>
            <w:shd w:val="clear" w:color="auto" w:fill="D9D9D9"/>
            <w:noWrap/>
            <w:vAlign w:val="bottom"/>
            <w:hideMark/>
          </w:tcPr>
          <w:p w:rsidR="009A58C5" w:rsidRDefault="009A58C5">
            <w:pPr>
              <w:spacing w:line="276" w:lineRule="auto"/>
              <w:jc w:val="center"/>
              <w:rPr>
                <w:rFonts w:ascii="Calibri" w:hAnsi="Calibri" w:cs="Calibri"/>
                <w:b/>
                <w:bCs/>
                <w:color w:val="000000"/>
                <w:lang w:val="es-MX" w:eastAsia="es-MX"/>
              </w:rPr>
            </w:pPr>
            <w:r>
              <w:rPr>
                <w:rFonts w:ascii="Calibri" w:hAnsi="Calibri" w:cs="Calibri"/>
                <w:b/>
                <w:bCs/>
                <w:color w:val="000000"/>
                <w:sz w:val="22"/>
                <w:szCs w:val="22"/>
                <w:lang w:val="es-MX" w:eastAsia="es-MX"/>
              </w:rPr>
              <w:t>CRÉDITO No. 1</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No. de cuenta contable</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2233-002-000</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Institución acreedora</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Institución de Crédito</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Nombre del acreedor</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BANCO INTERACCIONES S.A.</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Tipos de financiamiento</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Contratos y convenios</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Monto de contratación</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960,000,000.00</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Monto dispuesto</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960,000,000.00</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Fecha de inicio</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01/06/2010</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Fecha de vencimiento</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30/04/2035</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Meses de gracia</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18</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Tasa de interés</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TIIE + 250 PUNTOS BASE</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Destino</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Inversión Pública, gastos generados por Inversión Pública</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Saldo al 31 de Dic. de 2015</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959,827,614.01</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Empréstito</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0.00</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Amortización</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2,895,832.98</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rPr>
                <w:rFonts w:ascii="Calibri" w:hAnsi="Calibri" w:cs="Calibri"/>
                <w:color w:val="000000"/>
                <w:lang w:val="es-MX" w:eastAsia="es-MX"/>
              </w:rPr>
            </w:pPr>
            <w:r>
              <w:rPr>
                <w:rFonts w:ascii="Calibri" w:hAnsi="Calibri" w:cs="Calibri"/>
                <w:color w:val="000000"/>
                <w:sz w:val="22"/>
                <w:szCs w:val="22"/>
                <w:lang w:val="es-MX" w:eastAsia="es-MX"/>
              </w:rPr>
              <w:t>Interés pagado</w:t>
            </w:r>
          </w:p>
        </w:tc>
        <w:tc>
          <w:tcPr>
            <w:tcW w:w="5239" w:type="dxa"/>
            <w:gridSpan w:val="3"/>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69,564,366.19</w:t>
            </w:r>
          </w:p>
        </w:tc>
      </w:tr>
      <w:tr w:rsidR="009A58C5" w:rsidTr="009A58C5">
        <w:trPr>
          <w:trHeight w:val="300"/>
        </w:trPr>
        <w:tc>
          <w:tcPr>
            <w:tcW w:w="2684" w:type="dxa"/>
            <w:shd w:val="clear" w:color="auto" w:fill="D9D9D9"/>
            <w:noWrap/>
            <w:vAlign w:val="bottom"/>
            <w:hideMark/>
          </w:tcPr>
          <w:p w:rsidR="009A58C5" w:rsidRDefault="009A58C5">
            <w:pPr>
              <w:spacing w:line="276" w:lineRule="auto"/>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lastRenderedPageBreak/>
              <w:t>MES</w:t>
            </w:r>
          </w:p>
        </w:tc>
        <w:tc>
          <w:tcPr>
            <w:tcW w:w="1295" w:type="dxa"/>
            <w:shd w:val="clear" w:color="auto" w:fill="D9D9D9"/>
            <w:noWrap/>
            <w:vAlign w:val="bottom"/>
            <w:hideMark/>
          </w:tcPr>
          <w:p w:rsidR="009A58C5" w:rsidRDefault="009A58C5">
            <w:pPr>
              <w:spacing w:line="276" w:lineRule="auto"/>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EMPRÉSTITO</w:t>
            </w:r>
          </w:p>
        </w:tc>
        <w:tc>
          <w:tcPr>
            <w:tcW w:w="2035" w:type="dxa"/>
            <w:shd w:val="clear" w:color="auto" w:fill="D9D9D9"/>
            <w:noWrap/>
            <w:vAlign w:val="bottom"/>
            <w:hideMark/>
          </w:tcPr>
          <w:p w:rsidR="009A58C5" w:rsidRDefault="009A58C5">
            <w:pPr>
              <w:spacing w:line="276" w:lineRule="auto"/>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AMORTIZACIONES</w:t>
            </w:r>
          </w:p>
        </w:tc>
        <w:tc>
          <w:tcPr>
            <w:tcW w:w="1909" w:type="dxa"/>
            <w:shd w:val="clear" w:color="auto" w:fill="D9D9D9"/>
            <w:noWrap/>
            <w:vAlign w:val="bottom"/>
            <w:hideMark/>
          </w:tcPr>
          <w:p w:rsidR="009A58C5" w:rsidRDefault="009A58C5">
            <w:pPr>
              <w:spacing w:line="276" w:lineRule="auto"/>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INTERÉS</w:t>
            </w:r>
          </w:p>
        </w:tc>
      </w:tr>
      <w:tr w:rsidR="009A58C5" w:rsidTr="009A58C5">
        <w:trPr>
          <w:trHeight w:val="300"/>
        </w:trPr>
        <w:tc>
          <w:tcPr>
            <w:tcW w:w="2684" w:type="dxa"/>
            <w:tcBorders>
              <w:top w:val="single" w:sz="4" w:space="0" w:color="C5D9F1"/>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Enero</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1909" w:type="dxa"/>
            <w:tcBorders>
              <w:top w:val="single" w:sz="4" w:space="0" w:color="C5D9F1"/>
              <w:left w:val="nil"/>
              <w:bottom w:val="single" w:sz="4" w:space="0" w:color="C5D9F1"/>
              <w:right w:val="single" w:sz="4" w:space="0" w:color="C5D9F1"/>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558.02</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Febrero</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nil"/>
              <w:left w:val="nil"/>
              <w:bottom w:val="single" w:sz="4" w:space="0" w:color="C5D9F1"/>
              <w:right w:val="nil"/>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151,840.99</w:t>
            </w:r>
          </w:p>
        </w:tc>
        <w:tc>
          <w:tcPr>
            <w:tcW w:w="1909" w:type="dxa"/>
            <w:tcBorders>
              <w:top w:val="nil"/>
              <w:left w:val="nil"/>
              <w:bottom w:val="single" w:sz="4" w:space="0" w:color="C5D9F1"/>
              <w:right w:val="single" w:sz="4" w:space="0" w:color="C5D9F1"/>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12,448,212.93</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Marzo</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nil"/>
              <w:left w:val="nil"/>
              <w:bottom w:val="single" w:sz="4" w:space="0" w:color="C5D9F1"/>
              <w:right w:val="nil"/>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103,676.00</w:t>
            </w:r>
          </w:p>
        </w:tc>
        <w:tc>
          <w:tcPr>
            <w:tcW w:w="1909" w:type="dxa"/>
            <w:tcBorders>
              <w:top w:val="nil"/>
              <w:left w:val="nil"/>
              <w:bottom w:val="single" w:sz="4" w:space="0" w:color="C5D9F1"/>
              <w:right w:val="single" w:sz="4" w:space="0" w:color="C5D9F1"/>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6,842,571.10</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Abril</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19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Mayo</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nil"/>
              <w:left w:val="nil"/>
              <w:bottom w:val="single" w:sz="4" w:space="0" w:color="C5D9F1"/>
              <w:right w:val="nil"/>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277,466.99</w:t>
            </w:r>
          </w:p>
        </w:tc>
        <w:tc>
          <w:tcPr>
            <w:tcW w:w="1909" w:type="dxa"/>
            <w:tcBorders>
              <w:top w:val="nil"/>
              <w:left w:val="nil"/>
              <w:bottom w:val="single" w:sz="4" w:space="0" w:color="C5D9F1"/>
              <w:right w:val="single" w:sz="4" w:space="0" w:color="C5D9F1"/>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13,505,115.15</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Junio</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nil"/>
              <w:left w:val="nil"/>
              <w:bottom w:val="single" w:sz="4" w:space="0" w:color="C5D9F1"/>
              <w:right w:val="nil"/>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203,383.00</w:t>
            </w:r>
          </w:p>
        </w:tc>
        <w:tc>
          <w:tcPr>
            <w:tcW w:w="1909" w:type="dxa"/>
            <w:tcBorders>
              <w:top w:val="nil"/>
              <w:left w:val="nil"/>
              <w:bottom w:val="single" w:sz="4" w:space="0" w:color="C5D9F1"/>
              <w:right w:val="single" w:sz="4" w:space="0" w:color="C5D9F1"/>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6,932,502.30</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Julio</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19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Agosto</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nil"/>
              <w:left w:val="nil"/>
              <w:bottom w:val="single" w:sz="4" w:space="0" w:color="C5D9F1"/>
              <w:right w:val="nil"/>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603,100.00</w:t>
            </w:r>
          </w:p>
        </w:tc>
        <w:tc>
          <w:tcPr>
            <w:tcW w:w="1909" w:type="dxa"/>
            <w:tcBorders>
              <w:top w:val="nil"/>
              <w:left w:val="nil"/>
              <w:bottom w:val="single" w:sz="4" w:space="0" w:color="C5D9F1"/>
              <w:right w:val="single" w:sz="4" w:space="0" w:color="C5D9F1"/>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12,205,976.14</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Septiembre</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nil"/>
              <w:left w:val="nil"/>
              <w:bottom w:val="single" w:sz="4" w:space="0" w:color="C5D9F1"/>
              <w:right w:val="nil"/>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420,572.00</w:t>
            </w:r>
          </w:p>
        </w:tc>
        <w:tc>
          <w:tcPr>
            <w:tcW w:w="1909" w:type="dxa"/>
            <w:tcBorders>
              <w:top w:val="nil"/>
              <w:left w:val="nil"/>
              <w:bottom w:val="single" w:sz="4" w:space="0" w:color="C5D9F1"/>
              <w:right w:val="single" w:sz="4" w:space="0" w:color="C5D9F1"/>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5,659,074.00</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Octubre</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nil"/>
              <w:left w:val="nil"/>
              <w:bottom w:val="single" w:sz="4" w:space="0" w:color="C5D9F1"/>
              <w:right w:val="nil"/>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514,816.00</w:t>
            </w:r>
          </w:p>
        </w:tc>
        <w:tc>
          <w:tcPr>
            <w:tcW w:w="1909" w:type="dxa"/>
            <w:tcBorders>
              <w:top w:val="nil"/>
              <w:left w:val="nil"/>
              <w:bottom w:val="single" w:sz="4" w:space="0" w:color="C5D9F1"/>
              <w:right w:val="single" w:sz="4" w:space="0" w:color="C5D9F1"/>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5,905,616.25</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Noviembre</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nil"/>
              <w:left w:val="nil"/>
              <w:bottom w:val="single" w:sz="4" w:space="0" w:color="C5D9F1"/>
              <w:right w:val="nil"/>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620,978.00</w:t>
            </w:r>
          </w:p>
        </w:tc>
        <w:tc>
          <w:tcPr>
            <w:tcW w:w="1909" w:type="dxa"/>
            <w:tcBorders>
              <w:top w:val="nil"/>
              <w:left w:val="nil"/>
              <w:bottom w:val="single" w:sz="4" w:space="0" w:color="C5D9F1"/>
              <w:right w:val="single" w:sz="4" w:space="0" w:color="C5D9F1"/>
            </w:tcBorders>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6,064,740.30</w:t>
            </w:r>
          </w:p>
        </w:tc>
      </w:tr>
      <w:tr w:rsidR="009A58C5" w:rsidTr="009A58C5">
        <w:trPr>
          <w:trHeight w:val="300"/>
        </w:trPr>
        <w:tc>
          <w:tcPr>
            <w:tcW w:w="2684" w:type="dxa"/>
            <w:tcBorders>
              <w:top w:val="nil"/>
              <w:left w:val="single" w:sz="4" w:space="0" w:color="C5D9F1"/>
              <w:bottom w:val="single" w:sz="4" w:space="0" w:color="C5D9F1"/>
              <w:right w:val="single" w:sz="4" w:space="0" w:color="C5D9F1"/>
            </w:tcBorders>
            <w:noWrap/>
            <w:vAlign w:val="bottom"/>
            <w:hideMark/>
          </w:tcPr>
          <w:p w:rsidR="009A58C5" w:rsidRDefault="009A58C5">
            <w:pPr>
              <w:spacing w:line="276" w:lineRule="auto"/>
              <w:jc w:val="center"/>
              <w:rPr>
                <w:rFonts w:ascii="Calibri" w:hAnsi="Calibri" w:cs="Calibri"/>
                <w:color w:val="000000"/>
                <w:lang w:val="es-MX" w:eastAsia="es-MX"/>
              </w:rPr>
            </w:pPr>
            <w:r>
              <w:rPr>
                <w:rFonts w:ascii="Calibri" w:hAnsi="Calibri" w:cs="Calibri"/>
                <w:color w:val="000000"/>
                <w:sz w:val="22"/>
                <w:szCs w:val="22"/>
                <w:lang w:val="es-MX" w:eastAsia="es-MX"/>
              </w:rPr>
              <w:t>Diciembre</w:t>
            </w:r>
          </w:p>
        </w:tc>
        <w:tc>
          <w:tcPr>
            <w:tcW w:w="129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203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c>
          <w:tcPr>
            <w:tcW w:w="19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rsidR="009A58C5" w:rsidRDefault="009A58C5">
            <w:pPr>
              <w:spacing w:line="276" w:lineRule="auto"/>
              <w:jc w:val="right"/>
              <w:rPr>
                <w:rFonts w:ascii="Calibri" w:hAnsi="Calibri" w:cs="Calibri"/>
                <w:color w:val="000000"/>
                <w:lang w:val="es-MX" w:eastAsia="es-MX"/>
              </w:rPr>
            </w:pPr>
            <w:r>
              <w:rPr>
                <w:rFonts w:ascii="Calibri" w:hAnsi="Calibri" w:cs="Calibri"/>
                <w:color w:val="000000"/>
                <w:sz w:val="22"/>
                <w:szCs w:val="22"/>
                <w:lang w:val="es-MX" w:eastAsia="es-MX"/>
              </w:rPr>
              <w:t>0.00</w:t>
            </w:r>
          </w:p>
        </w:tc>
      </w:tr>
      <w:tr w:rsidR="009A58C5" w:rsidTr="009A58C5">
        <w:trPr>
          <w:trHeight w:val="300"/>
        </w:trPr>
        <w:tc>
          <w:tcPr>
            <w:tcW w:w="2684" w:type="dxa"/>
            <w:tcBorders>
              <w:top w:val="nil"/>
              <w:left w:val="single" w:sz="4" w:space="0" w:color="C5D9F1"/>
              <w:bottom w:val="nil"/>
              <w:right w:val="single" w:sz="4" w:space="0" w:color="C5D9F1"/>
            </w:tcBorders>
            <w:shd w:val="clear" w:color="auto" w:fill="D9D9D9"/>
            <w:noWrap/>
            <w:vAlign w:val="bottom"/>
            <w:hideMark/>
          </w:tcPr>
          <w:p w:rsidR="009A58C5" w:rsidRDefault="009A58C5">
            <w:pPr>
              <w:spacing w:line="276" w:lineRule="auto"/>
              <w:jc w:val="right"/>
              <w:rPr>
                <w:rFonts w:ascii="Calibri" w:hAnsi="Calibri" w:cs="Calibri"/>
                <w:b/>
                <w:bCs/>
                <w:i/>
                <w:iCs/>
                <w:color w:val="000000"/>
                <w:lang w:val="es-MX" w:eastAsia="es-MX"/>
              </w:rPr>
            </w:pPr>
            <w:r>
              <w:rPr>
                <w:rFonts w:ascii="Calibri" w:hAnsi="Calibri" w:cs="Calibri"/>
                <w:b/>
                <w:bCs/>
                <w:i/>
                <w:iCs/>
                <w:color w:val="000000"/>
                <w:sz w:val="22"/>
                <w:szCs w:val="22"/>
                <w:lang w:val="es-MX" w:eastAsia="es-MX"/>
              </w:rPr>
              <w:t>SUMA</w:t>
            </w:r>
          </w:p>
        </w:tc>
        <w:tc>
          <w:tcPr>
            <w:tcW w:w="1295" w:type="dxa"/>
            <w:shd w:val="clear" w:color="auto" w:fill="D9D9D9"/>
            <w:noWrap/>
            <w:vAlign w:val="bottom"/>
            <w:hideMark/>
          </w:tcPr>
          <w:p w:rsidR="009A58C5" w:rsidRDefault="009A58C5">
            <w:pPr>
              <w:spacing w:line="276" w:lineRule="auto"/>
              <w:jc w:val="right"/>
              <w:rPr>
                <w:rFonts w:ascii="Calibri" w:hAnsi="Calibri" w:cs="Calibri"/>
                <w:b/>
                <w:bCs/>
                <w:color w:val="000000"/>
                <w:lang w:val="es-MX" w:eastAsia="es-MX"/>
              </w:rPr>
            </w:pPr>
            <w:r>
              <w:rPr>
                <w:rFonts w:ascii="Calibri" w:hAnsi="Calibri" w:cs="Calibri"/>
                <w:b/>
                <w:bCs/>
                <w:color w:val="000000"/>
                <w:sz w:val="22"/>
                <w:szCs w:val="22"/>
                <w:lang w:val="es-MX" w:eastAsia="es-MX"/>
              </w:rPr>
              <w:t>0.00</w:t>
            </w:r>
          </w:p>
        </w:tc>
        <w:tc>
          <w:tcPr>
            <w:tcW w:w="2035" w:type="dxa"/>
            <w:shd w:val="clear" w:color="auto" w:fill="D9D9D9"/>
            <w:noWrap/>
            <w:vAlign w:val="bottom"/>
            <w:hideMark/>
          </w:tcPr>
          <w:p w:rsidR="009A58C5" w:rsidRDefault="009A58C5">
            <w:pPr>
              <w:spacing w:line="276" w:lineRule="auto"/>
              <w:jc w:val="right"/>
              <w:rPr>
                <w:rFonts w:ascii="Calibri" w:hAnsi="Calibri" w:cs="Calibri"/>
                <w:b/>
                <w:bCs/>
                <w:color w:val="000000"/>
                <w:lang w:val="es-MX" w:eastAsia="es-MX"/>
              </w:rPr>
            </w:pPr>
            <w:r>
              <w:rPr>
                <w:rFonts w:ascii="Calibri" w:hAnsi="Calibri" w:cs="Calibri"/>
                <w:b/>
                <w:bCs/>
                <w:color w:val="000000"/>
                <w:sz w:val="22"/>
                <w:szCs w:val="22"/>
                <w:lang w:val="es-MX" w:eastAsia="es-MX"/>
              </w:rPr>
              <w:t>2,895,832.98</w:t>
            </w:r>
          </w:p>
        </w:tc>
        <w:tc>
          <w:tcPr>
            <w:tcW w:w="1909" w:type="dxa"/>
            <w:shd w:val="clear" w:color="auto" w:fill="D9D9D9"/>
            <w:noWrap/>
            <w:vAlign w:val="bottom"/>
            <w:hideMark/>
          </w:tcPr>
          <w:p w:rsidR="009A58C5" w:rsidRDefault="009A58C5">
            <w:pPr>
              <w:spacing w:line="276" w:lineRule="auto"/>
              <w:jc w:val="right"/>
              <w:rPr>
                <w:rFonts w:ascii="Calibri" w:hAnsi="Calibri" w:cs="Calibri"/>
                <w:b/>
                <w:bCs/>
                <w:color w:val="000000"/>
                <w:lang w:val="es-MX" w:eastAsia="es-MX"/>
              </w:rPr>
            </w:pPr>
            <w:r>
              <w:rPr>
                <w:rFonts w:ascii="Calibri" w:hAnsi="Calibri" w:cs="Calibri"/>
                <w:b/>
                <w:bCs/>
                <w:color w:val="000000"/>
                <w:sz w:val="22"/>
                <w:szCs w:val="22"/>
                <w:lang w:val="es-MX" w:eastAsia="es-MX"/>
              </w:rPr>
              <w:t>69,564,366.19</w:t>
            </w:r>
          </w:p>
        </w:tc>
      </w:tr>
    </w:tbl>
    <w:p w:rsidR="009A58C5" w:rsidRDefault="009A58C5" w:rsidP="009A58C5">
      <w:pPr>
        <w:spacing w:after="200" w:line="276" w:lineRule="auto"/>
        <w:jc w:val="both"/>
        <w:rPr>
          <w:rStyle w:val="collapseomatic"/>
          <w:rFonts w:ascii="Arial" w:hAnsi="Arial" w:cs="Arial"/>
          <w:bCs/>
          <w:color w:val="444444"/>
          <w:bdr w:val="none" w:sz="0" w:space="0" w:color="auto" w:frame="1"/>
          <w:shd w:val="clear" w:color="auto" w:fill="FFFFFF"/>
        </w:rPr>
      </w:pPr>
    </w:p>
    <w:p w:rsidR="009A58C5" w:rsidRDefault="009A58C5" w:rsidP="009A58C5">
      <w:pPr>
        <w:jc w:val="both"/>
      </w:pPr>
      <w:r>
        <w:rPr>
          <w:rFonts w:ascii="Arial" w:eastAsiaTheme="minorHAnsi" w:hAnsi="Arial" w:cs="Arial"/>
          <w:b/>
          <w:bCs/>
          <w:color w:val="000000"/>
          <w:lang w:val="es-MX" w:eastAsia="en-US"/>
        </w:rPr>
        <w:t xml:space="preserve">Fundamentación: </w:t>
      </w:r>
      <w:r>
        <w:rPr>
          <w:rFonts w:ascii="Arial" w:eastAsiaTheme="minorHAnsi" w:hAnsi="Arial" w:cs="Arial"/>
          <w:bCs/>
          <w:color w:val="000000"/>
          <w:lang w:val="es-MX" w:eastAsia="en-US"/>
        </w:rPr>
        <w:t>A</w:t>
      </w:r>
      <w:r>
        <w:rPr>
          <w:rFonts w:ascii="Arial" w:eastAsiaTheme="minorHAnsi" w:hAnsi="Arial" w:cs="Arial"/>
          <w:color w:val="000000"/>
          <w:lang w:val="es-MX" w:eastAsia="en-US"/>
        </w:rPr>
        <w:t xml:space="preserve">rtículos 5 de la Ley de Deuda Pública del Estado de Jalisco y sus Municipios, </w:t>
      </w:r>
      <w:r>
        <w:rPr>
          <w:rFonts w:ascii="Arial" w:hAnsi="Arial" w:cs="Arial"/>
        </w:rPr>
        <w:t>en la Ley de Disciplina Financiera de las Entidades Federativas y los Municipios.</w:t>
      </w:r>
    </w:p>
    <w:p w:rsidR="009A58C5" w:rsidRDefault="009A58C5" w:rsidP="009A58C5">
      <w:pPr>
        <w:autoSpaceDE w:val="0"/>
        <w:autoSpaceDN w:val="0"/>
        <w:adjustRightInd w:val="0"/>
        <w:jc w:val="both"/>
        <w:rPr>
          <w:rStyle w:val="collapseomatic"/>
          <w:bCs/>
          <w:color w:val="444444"/>
          <w:bdr w:val="none" w:sz="0" w:space="0" w:color="auto" w:frame="1"/>
          <w:shd w:val="clear" w:color="auto" w:fill="FFFFFF"/>
        </w:rPr>
      </w:pPr>
      <w:r>
        <w:rPr>
          <w:rFonts w:ascii="Arial" w:eastAsiaTheme="minorHAnsi" w:hAnsi="Arial" w:cs="Arial"/>
          <w:color w:val="000000"/>
          <w:lang w:val="es-MX" w:eastAsia="en-US"/>
        </w:rPr>
        <w:t xml:space="preserve">Articulo 8 Numeral 1 Fracción V Inciso w) de la Ley de Transparencia y Acceso a la Información Pública del Estado de Jalisco y sus Municipios en el siguiente link: </w:t>
      </w:r>
      <w:hyperlink r:id="rId8" w:history="1">
        <w:r>
          <w:rPr>
            <w:rStyle w:val="Hipervnculo"/>
            <w:rFonts w:ascii="Arial" w:hAnsi="Arial" w:cs="Arial"/>
            <w:bCs/>
            <w:bdr w:val="none" w:sz="0" w:space="0" w:color="auto" w:frame="1"/>
            <w:shd w:val="clear" w:color="auto" w:fill="FFFFFF"/>
          </w:rPr>
          <w:t>http://tonala.gob.mx/portal/wp-content/uploads/2017/02/Estado-de-la-Deuda-Pública-Diciembre-2016.pdf</w:t>
        </w:r>
      </w:hyperlink>
    </w:p>
    <w:p w:rsidR="009A58C5" w:rsidRDefault="009A58C5" w:rsidP="009A58C5">
      <w:pPr>
        <w:autoSpaceDE w:val="0"/>
        <w:autoSpaceDN w:val="0"/>
        <w:adjustRightInd w:val="0"/>
        <w:jc w:val="both"/>
        <w:rPr>
          <w:rFonts w:eastAsiaTheme="minorHAnsi"/>
          <w:color w:val="000000"/>
          <w:lang w:eastAsia="en-US"/>
        </w:rPr>
      </w:pPr>
    </w:p>
    <w:p w:rsidR="009A58C5" w:rsidRDefault="009A58C5" w:rsidP="009A58C5">
      <w:pPr>
        <w:autoSpaceDE w:val="0"/>
        <w:autoSpaceDN w:val="0"/>
        <w:adjustRightInd w:val="0"/>
        <w:rPr>
          <w:rFonts w:ascii="Arial" w:eastAsiaTheme="minorHAnsi" w:hAnsi="Arial" w:cs="Arial"/>
          <w:b/>
          <w:bCs/>
          <w:lang w:val="es-MX" w:eastAsia="en-US"/>
        </w:rPr>
      </w:pPr>
    </w:p>
    <w:p w:rsidR="009A58C5" w:rsidRDefault="009A58C5" w:rsidP="009A58C5">
      <w:pPr>
        <w:autoSpaceDE w:val="0"/>
        <w:autoSpaceDN w:val="0"/>
        <w:adjustRightInd w:val="0"/>
        <w:jc w:val="both"/>
        <w:rPr>
          <w:rFonts w:ascii="Arial" w:eastAsiaTheme="minorHAnsi" w:hAnsi="Arial" w:cs="Arial"/>
          <w:bCs/>
          <w:color w:val="000000" w:themeColor="text1"/>
          <w:lang w:val="es-MX" w:eastAsia="en-US"/>
        </w:rPr>
      </w:pPr>
      <w:r>
        <w:rPr>
          <w:rFonts w:ascii="Arial" w:eastAsiaTheme="minorHAnsi" w:hAnsi="Arial" w:cs="Arial"/>
          <w:b/>
          <w:bCs/>
          <w:color w:val="000000"/>
          <w:lang w:val="es-MX" w:eastAsia="en-US"/>
        </w:rPr>
        <w:t xml:space="preserve">Fuente: </w:t>
      </w:r>
      <w:r>
        <w:rPr>
          <w:rFonts w:ascii="Arial" w:eastAsiaTheme="minorHAnsi" w:hAnsi="Arial" w:cs="Arial"/>
          <w:bCs/>
          <w:color w:val="000000"/>
          <w:lang w:val="es-MX" w:eastAsia="en-US"/>
        </w:rPr>
        <w:t>S</w:t>
      </w:r>
      <w:r>
        <w:rPr>
          <w:rFonts w:ascii="Arial" w:eastAsiaTheme="minorHAnsi" w:hAnsi="Arial" w:cs="Arial"/>
          <w:color w:val="000000"/>
          <w:lang w:val="es-MX" w:eastAsia="en-US"/>
        </w:rPr>
        <w:t xml:space="preserve">itio oficial de internet del Gobierno Municipal de Tonalá, Jalisco </w:t>
      </w:r>
    </w:p>
    <w:p w:rsidR="009A58C5" w:rsidRPr="009A58C5" w:rsidRDefault="009A58C5">
      <w:pPr>
        <w:rPr>
          <w:lang w:val="es-MX"/>
        </w:rPr>
      </w:pPr>
    </w:p>
    <w:sectPr w:rsidR="009A58C5" w:rsidRPr="009A58C5" w:rsidSect="00D44C74">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7C" w:rsidRDefault="009B6B7C" w:rsidP="009A58C5">
      <w:r>
        <w:separator/>
      </w:r>
    </w:p>
  </w:endnote>
  <w:endnote w:type="continuationSeparator" w:id="0">
    <w:p w:rsidR="009B6B7C" w:rsidRDefault="009B6B7C" w:rsidP="009A58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7C" w:rsidRDefault="009B6B7C" w:rsidP="009A58C5">
      <w:r>
        <w:separator/>
      </w:r>
    </w:p>
  </w:footnote>
  <w:footnote w:type="continuationSeparator" w:id="0">
    <w:p w:rsidR="009B6B7C" w:rsidRDefault="009B6B7C" w:rsidP="009A5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C5" w:rsidRDefault="009A58C5">
    <w:pPr>
      <w:pStyle w:val="Encabezado"/>
    </w:pPr>
    <w:r>
      <w:rPr>
        <w:noProof/>
        <w:lang w:eastAsia="es-MX"/>
      </w:rPr>
      <w:drawing>
        <wp:inline distT="0" distB="0" distL="0" distR="0">
          <wp:extent cx="771525" cy="1099424"/>
          <wp:effectExtent l="19050" t="0" r="9525"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771525" cy="1099424"/>
                  </a:xfrm>
                  <a:prstGeom prst="rect">
                    <a:avLst/>
                  </a:prstGeom>
                  <a:noFill/>
                  <a:ln w="9525">
                    <a:noFill/>
                    <a:miter lim="800000"/>
                    <a:headEnd/>
                    <a:tailEnd/>
                  </a:ln>
                </pic:spPr>
              </pic:pic>
            </a:graphicData>
          </a:graphic>
        </wp:inline>
      </w:drawing>
    </w:r>
    <w:r>
      <w:t xml:space="preserve">     </w:t>
    </w:r>
    <w:r>
      <w:rPr>
        <w:noProof/>
        <w:lang w:eastAsia="es-MX"/>
      </w:rPr>
      <w:t xml:space="preserve">                                                                                             </w:t>
    </w:r>
    <w:r>
      <w:rPr>
        <w:noProof/>
        <w:lang w:eastAsia="es-MX"/>
      </w:rPr>
      <w:drawing>
        <wp:inline distT="0" distB="0" distL="0" distR="0">
          <wp:extent cx="1695450" cy="1144429"/>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695450" cy="114442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A58C5"/>
    <w:rsid w:val="009A58C5"/>
    <w:rsid w:val="009B6B7C"/>
    <w:rsid w:val="00C6671B"/>
    <w:rsid w:val="00D44C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C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58C5"/>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semiHidden/>
    <w:rsid w:val="009A58C5"/>
  </w:style>
  <w:style w:type="paragraph" w:styleId="Piedepgina">
    <w:name w:val="footer"/>
    <w:basedOn w:val="Normal"/>
    <w:link w:val="PiedepginaCar"/>
    <w:uiPriority w:val="99"/>
    <w:semiHidden/>
    <w:unhideWhenUsed/>
    <w:rsid w:val="009A58C5"/>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semiHidden/>
    <w:rsid w:val="009A58C5"/>
  </w:style>
  <w:style w:type="paragraph" w:styleId="Textodeglobo">
    <w:name w:val="Balloon Text"/>
    <w:basedOn w:val="Normal"/>
    <w:link w:val="TextodegloboCar"/>
    <w:uiPriority w:val="99"/>
    <w:semiHidden/>
    <w:unhideWhenUsed/>
    <w:rsid w:val="009A58C5"/>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9A58C5"/>
    <w:rPr>
      <w:rFonts w:ascii="Tahoma" w:hAnsi="Tahoma" w:cs="Tahoma"/>
      <w:sz w:val="16"/>
      <w:szCs w:val="16"/>
    </w:rPr>
  </w:style>
  <w:style w:type="character" w:styleId="Hipervnculo">
    <w:name w:val="Hyperlink"/>
    <w:basedOn w:val="Fuentedeprrafopredeter"/>
    <w:uiPriority w:val="99"/>
    <w:semiHidden/>
    <w:unhideWhenUsed/>
    <w:rsid w:val="009A58C5"/>
    <w:rPr>
      <w:color w:val="0000FF" w:themeColor="hyperlink"/>
      <w:u w:val="single"/>
    </w:rPr>
  </w:style>
  <w:style w:type="character" w:customStyle="1" w:styleId="collapseomatic">
    <w:name w:val="collapseomatic"/>
    <w:basedOn w:val="Fuentedeprrafopredeter"/>
    <w:rsid w:val="009A58C5"/>
  </w:style>
</w:styles>
</file>

<file path=word/webSettings.xml><?xml version="1.0" encoding="utf-8"?>
<w:webSettings xmlns:r="http://schemas.openxmlformats.org/officeDocument/2006/relationships" xmlns:w="http://schemas.openxmlformats.org/wordprocessingml/2006/main">
  <w:divs>
    <w:div w:id="9105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nala.gob.mx/portal/wp-content/uploads/2017/02/Estado-de-la-Deuda-P&#250;blica-Diciembre-2016.pdf" TargetMode="External"/><Relationship Id="rId3" Type="http://schemas.openxmlformats.org/officeDocument/2006/relationships/webSettings" Target="webSettings.xml"/><Relationship Id="rId7" Type="http://schemas.openxmlformats.org/officeDocument/2006/relationships/hyperlink" Target="http://tonala.gob.mx/portal/wp-content/uploads/2017/02/Estado-de-la-Deuda-P&#250;blica-Diciembre-201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nala.gob.mx/port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2272</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2017-09-07T16:12:00Z</dcterms:created>
  <dcterms:modified xsi:type="dcterms:W3CDTF">2017-09-07T16:14:00Z</dcterms:modified>
</cp:coreProperties>
</file>