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74" w:rsidRDefault="00D44C74"/>
    <w:p w:rsidR="00F41780" w:rsidRDefault="00F41780" w:rsidP="00F41780">
      <w:pPr>
        <w:autoSpaceDE w:val="0"/>
        <w:autoSpaceDN w:val="0"/>
        <w:adjustRightInd w:val="0"/>
        <w:jc w:val="both"/>
        <w:rPr>
          <w:rFonts w:ascii="Arial" w:eastAsiaTheme="minorHAnsi" w:hAnsi="Arial" w:cs="Arial"/>
          <w:b/>
          <w:bCs/>
          <w:lang w:val="es-MX" w:eastAsia="en-US"/>
        </w:rPr>
      </w:pPr>
      <w:r>
        <w:rPr>
          <w:rFonts w:ascii="Arial" w:eastAsiaTheme="minorHAnsi" w:hAnsi="Arial" w:cs="Arial"/>
          <w:b/>
          <w:bCs/>
          <w:lang w:val="es-MX" w:eastAsia="en-US"/>
        </w:rPr>
        <w:t>50. ¿Desglosa los saldos de la deuda pública?</w:t>
      </w:r>
    </w:p>
    <w:p w:rsidR="00F41780" w:rsidRDefault="00F41780" w:rsidP="00F41780">
      <w:pPr>
        <w:autoSpaceDE w:val="0"/>
        <w:autoSpaceDN w:val="0"/>
        <w:adjustRightInd w:val="0"/>
        <w:jc w:val="both"/>
        <w:rPr>
          <w:rFonts w:ascii="Arial" w:eastAsiaTheme="minorHAnsi" w:hAnsi="Arial" w:cs="Arial"/>
          <w:bCs/>
          <w:color w:val="000000" w:themeColor="text1"/>
          <w:lang w:val="es-MX" w:eastAsia="en-US"/>
        </w:rPr>
      </w:pPr>
    </w:p>
    <w:p w:rsidR="00F41780" w:rsidRDefault="00F41780" w:rsidP="00F41780">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La deuda pública se constituye por las obligaciones directas y contingentes a cargo del municipio, las obligaciones crediticias que contraigan las entidades públicas podrán derivarse de: los actos y contratos en los que se determine el pago a plazos, independientemente de la forma en que se les documente; las garantías que otorguen para el cumplimiento de los actos señalados. En la contratación de endeudamiento del Municipio podrán afectar como garantía de las obligaciones contraídas, sus participaciones en impuestos federales y estatales. En el Estado de la Deuda Pública se encuentra la siguiente información: fecha de contratación, monto de crédito, tasa de interés, monto total amortizable, plazo de vencimiento, institución crediticia, objetivo de aplicación y avance de aplicación de cada deuda contratada.</w:t>
      </w:r>
    </w:p>
    <w:p w:rsidR="00F41780" w:rsidRDefault="00F41780" w:rsidP="00F41780">
      <w:pPr>
        <w:autoSpaceDE w:val="0"/>
        <w:autoSpaceDN w:val="0"/>
        <w:adjustRightInd w:val="0"/>
        <w:jc w:val="both"/>
        <w:rPr>
          <w:rFonts w:asciiTheme="minorHAnsi" w:eastAsiaTheme="minorHAnsi" w:hAnsiTheme="minorHAnsi" w:cstheme="minorBidi"/>
          <w:b/>
          <w:sz w:val="22"/>
          <w:szCs w:val="22"/>
          <w:lang w:eastAsia="en-US"/>
        </w:rPr>
      </w:pPr>
    </w:p>
    <w:p w:rsidR="00F41780" w:rsidRDefault="00F41780" w:rsidP="00F41780">
      <w:pPr>
        <w:autoSpaceDE w:val="0"/>
        <w:autoSpaceDN w:val="0"/>
        <w:adjustRightInd w:val="0"/>
        <w:jc w:val="both"/>
        <w:rPr>
          <w:rFonts w:ascii="Arial" w:eastAsiaTheme="minorHAnsi" w:hAnsi="Arial" w:cs="Arial"/>
          <w:lang w:val="es-MX" w:eastAsia="en-US"/>
        </w:rPr>
      </w:pPr>
      <w:r>
        <w:rPr>
          <w:rFonts w:ascii="Arial" w:eastAsiaTheme="minorHAnsi" w:hAnsi="Arial" w:cs="Arial"/>
          <w:lang w:val="es-MX" w:eastAsia="en-US"/>
        </w:rPr>
        <w:t>Los saldos de la deuda pública pueden ser consultados de manera directa en el estado de deuda pública y en la cuenta pública de diciembre, son las siguientes rutas de acceso:</w:t>
      </w:r>
    </w:p>
    <w:p w:rsidR="00F41780" w:rsidRDefault="00F41780" w:rsidP="00F41780">
      <w:pPr>
        <w:autoSpaceDE w:val="0"/>
        <w:autoSpaceDN w:val="0"/>
        <w:adjustRightInd w:val="0"/>
        <w:jc w:val="both"/>
        <w:rPr>
          <w:rFonts w:ascii="Arial" w:eastAsiaTheme="minorHAnsi" w:hAnsi="Arial" w:cs="Arial"/>
          <w:bCs/>
          <w:color w:val="000000" w:themeColor="text1"/>
          <w:lang w:eastAsia="en-US"/>
        </w:rPr>
      </w:pPr>
    </w:p>
    <w:p w:rsidR="00F41780" w:rsidRDefault="00F41780" w:rsidP="00F41780">
      <w:pPr>
        <w:autoSpaceDE w:val="0"/>
        <w:autoSpaceDN w:val="0"/>
        <w:adjustRightInd w:val="0"/>
        <w:jc w:val="both"/>
        <w:rPr>
          <w:rStyle w:val="collapseomatic"/>
          <w:bCs/>
          <w:color w:val="444444"/>
          <w:bdr w:val="none" w:sz="0" w:space="0" w:color="auto" w:frame="1"/>
          <w:shd w:val="clear" w:color="auto" w:fill="FFFFFF"/>
        </w:rPr>
      </w:pPr>
      <w:r>
        <w:rPr>
          <w:rFonts w:ascii="Arial" w:eastAsiaTheme="minorHAnsi" w:hAnsi="Arial" w:cs="Arial"/>
          <w:bCs/>
          <w:color w:val="000000"/>
          <w:lang w:val="es-MX" w:eastAsia="en-US"/>
        </w:rPr>
        <w:t>La siguiente</w:t>
      </w:r>
      <w:r>
        <w:rPr>
          <w:rFonts w:ascii="Arial" w:eastAsiaTheme="minorHAnsi" w:hAnsi="Arial" w:cs="Arial"/>
          <w:b/>
          <w:bCs/>
          <w:color w:val="000000"/>
          <w:lang w:val="es-MX" w:eastAsia="en-US"/>
        </w:rPr>
        <w:t xml:space="preserve"> ruta de acceso</w:t>
      </w:r>
      <w:r>
        <w:rPr>
          <w:rFonts w:ascii="Arial" w:eastAsiaTheme="minorHAnsi" w:hAnsi="Arial" w:cs="Arial"/>
          <w:bCs/>
          <w:color w:val="000000"/>
          <w:lang w:val="es-MX" w:eastAsia="en-US"/>
        </w:rPr>
        <w:t xml:space="preserve">: </w:t>
      </w:r>
      <w:hyperlink r:id="rId6" w:history="1">
        <w:r>
          <w:rPr>
            <w:rStyle w:val="Hipervnculo"/>
            <w:rFonts w:ascii="Arial" w:eastAsiaTheme="minorHAnsi" w:hAnsi="Arial" w:cs="Arial"/>
            <w:bCs/>
            <w:lang w:val="es-MX" w:eastAsia="en-US"/>
          </w:rPr>
          <w:t>http://tonala.gob.mx/portal/</w:t>
        </w:r>
      </w:hyperlink>
      <w:r>
        <w:rPr>
          <w:rFonts w:ascii="Arial" w:eastAsiaTheme="minorHAnsi" w:hAnsi="Arial" w:cs="Arial"/>
          <w:bCs/>
          <w:color w:val="000000"/>
          <w:lang w:val="es-MX" w:eastAsia="en-US"/>
        </w:rPr>
        <w:t xml:space="preserve"> Apartado de Transparencia- Información Fundamental- Articulo 8- Numeral 1 Fracción V- Inciso </w:t>
      </w:r>
      <w:r>
        <w:rPr>
          <w:rStyle w:val="collapseomatic"/>
          <w:rFonts w:ascii="Arial" w:hAnsi="Arial" w:cs="Arial"/>
          <w:bCs/>
          <w:color w:val="444444"/>
          <w:bdr w:val="none" w:sz="0" w:space="0" w:color="auto" w:frame="1"/>
          <w:shd w:val="clear" w:color="auto" w:fill="FFFFFF"/>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 Año 2016- Deuda Diciembre</w:t>
      </w: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
          <w:bCs/>
          <w:bdr w:val="none" w:sz="0" w:space="0" w:color="auto" w:frame="1"/>
          <w:shd w:val="clear" w:color="auto" w:fill="FFFFFF"/>
        </w:rPr>
      </w:pPr>
      <w:r>
        <w:rPr>
          <w:rStyle w:val="collapseomatic"/>
          <w:rFonts w:ascii="Arial" w:hAnsi="Arial" w:cs="Arial"/>
          <w:bCs/>
          <w:bdr w:val="none" w:sz="0" w:space="0" w:color="auto" w:frame="1"/>
          <w:shd w:val="clear" w:color="auto" w:fill="FFFFFF"/>
        </w:rPr>
        <w:t>Puede ser consultado directamente en el siguiente</w:t>
      </w:r>
      <w:r>
        <w:rPr>
          <w:rStyle w:val="collapseomatic"/>
          <w:rFonts w:ascii="Arial" w:hAnsi="Arial" w:cs="Arial"/>
          <w:b/>
          <w:bCs/>
          <w:bdr w:val="none" w:sz="0" w:space="0" w:color="auto" w:frame="1"/>
          <w:shd w:val="clear" w:color="auto" w:fill="FFFFFF"/>
        </w:rPr>
        <w:t xml:space="preserve"> Link:</w:t>
      </w: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hyperlink r:id="rId7" w:history="1">
        <w:r>
          <w:rPr>
            <w:rStyle w:val="Hipervnculo"/>
            <w:rFonts w:ascii="Arial" w:hAnsi="Arial" w:cs="Arial"/>
            <w:bCs/>
            <w:bdr w:val="none" w:sz="0" w:space="0" w:color="auto" w:frame="1"/>
            <w:shd w:val="clear" w:color="auto" w:fill="FFFFFF"/>
          </w:rPr>
          <w:t>http://tonala.gob.mx/portal/wp-content/uploads/2017/02/Estado-de-la-Deuda-Pública-Diciembre-2016.pdf</w:t>
        </w:r>
      </w:hyperlink>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r>
        <w:rPr>
          <w:rFonts w:ascii="Arial" w:hAnsi="Arial" w:cs="Arial"/>
          <w:noProof/>
          <w:color w:val="444444"/>
          <w:lang w:val="es-MX" w:eastAsia="es-MX"/>
        </w:rPr>
        <w:lastRenderedPageBreak/>
        <w:drawing>
          <wp:inline distT="0" distB="0" distL="0" distR="0">
            <wp:extent cx="6115050" cy="2276475"/>
            <wp:effectExtent l="19050" t="0" r="0" b="0"/>
            <wp:docPr id="1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3"/>
                    <pic:cNvPicPr>
                      <a:picLocks noChangeAspect="1" noChangeArrowheads="1"/>
                    </pic:cNvPicPr>
                  </pic:nvPicPr>
                  <pic:blipFill>
                    <a:blip r:embed="rId8" cstate="print"/>
                    <a:srcRect/>
                    <a:stretch>
                      <a:fillRect/>
                    </a:stretch>
                  </pic:blipFill>
                  <pic:spPr bwMode="auto">
                    <a:xfrm>
                      <a:off x="0" y="0"/>
                      <a:ext cx="6115050" cy="2276475"/>
                    </a:xfrm>
                    <a:prstGeom prst="rect">
                      <a:avLst/>
                    </a:prstGeom>
                    <a:noFill/>
                    <a:ln w="9525">
                      <a:noFill/>
                      <a:miter lim="800000"/>
                      <a:headEnd/>
                      <a:tailEnd/>
                    </a:ln>
                  </pic:spPr>
                </pic:pic>
              </a:graphicData>
            </a:graphic>
          </wp:inline>
        </w:drawing>
      </w: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center"/>
        <w:rPr>
          <w:rStyle w:val="collapseomatic"/>
          <w:rFonts w:ascii="Arial" w:hAnsi="Arial" w:cs="Arial"/>
          <w:bCs/>
          <w:color w:val="444444"/>
          <w:bdr w:val="none" w:sz="0" w:space="0" w:color="auto" w:frame="1"/>
          <w:shd w:val="clear" w:color="auto" w:fill="FFFFFF"/>
        </w:rPr>
      </w:pPr>
      <w:r>
        <w:rPr>
          <w:noProof/>
          <w:lang w:val="es-MX" w:eastAsia="es-MX"/>
        </w:rPr>
        <w:drawing>
          <wp:inline distT="0" distB="0" distL="0" distR="0">
            <wp:extent cx="2257425" cy="3267075"/>
            <wp:effectExtent l="19050" t="0" r="9525" b="0"/>
            <wp:docPr id="14" name="Gráfico 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84"/>
                    <pic:cNvPicPr>
                      <a:picLocks noChangeArrowheads="1"/>
                    </pic:cNvPicPr>
                  </pic:nvPicPr>
                  <pic:blipFill>
                    <a:blip r:embed="rId9" cstate="print"/>
                    <a:srcRect b="-78"/>
                    <a:stretch>
                      <a:fillRect/>
                    </a:stretch>
                  </pic:blipFill>
                  <pic:spPr bwMode="auto">
                    <a:xfrm>
                      <a:off x="0" y="0"/>
                      <a:ext cx="2257425" cy="3267075"/>
                    </a:xfrm>
                    <a:prstGeom prst="rect">
                      <a:avLst/>
                    </a:prstGeom>
                    <a:noFill/>
                    <a:ln w="9525">
                      <a:noFill/>
                      <a:miter lim="800000"/>
                      <a:headEnd/>
                      <a:tailEnd/>
                    </a:ln>
                  </pic:spPr>
                </pic:pic>
              </a:graphicData>
            </a:graphic>
          </wp:inline>
        </w:drawing>
      </w:r>
      <w:r>
        <w:rPr>
          <w:noProof/>
          <w:lang w:val="es-MX" w:eastAsia="es-MX"/>
        </w:rPr>
        <w:drawing>
          <wp:inline distT="0" distB="0" distL="0" distR="0">
            <wp:extent cx="2219325" cy="3248025"/>
            <wp:effectExtent l="19050" t="0" r="9525" b="0"/>
            <wp:docPr id="15" name="Gráfico 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85"/>
                    <pic:cNvPicPr>
                      <a:picLocks noChangeArrowheads="1"/>
                    </pic:cNvPicPr>
                  </pic:nvPicPr>
                  <pic:blipFill>
                    <a:blip r:embed="rId10" cstate="print"/>
                    <a:srcRect b="-40"/>
                    <a:stretch>
                      <a:fillRect/>
                    </a:stretch>
                  </pic:blipFill>
                  <pic:spPr bwMode="auto">
                    <a:xfrm>
                      <a:off x="0" y="0"/>
                      <a:ext cx="2219325" cy="3248025"/>
                    </a:xfrm>
                    <a:prstGeom prst="rect">
                      <a:avLst/>
                    </a:prstGeom>
                    <a:noFill/>
                    <a:ln w="9525">
                      <a:noFill/>
                      <a:miter lim="800000"/>
                      <a:headEnd/>
                      <a:tailEnd/>
                    </a:ln>
                  </pic:spPr>
                </pic:pic>
              </a:graphicData>
            </a:graphic>
          </wp:inline>
        </w:drawing>
      </w: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bdr w:val="none" w:sz="0" w:space="0" w:color="auto" w:frame="1"/>
          <w:shd w:val="clear" w:color="auto" w:fill="FFFFFF"/>
        </w:rPr>
      </w:pPr>
      <w:r>
        <w:rPr>
          <w:rFonts w:ascii="Arial" w:hAnsi="Arial" w:cs="Arial"/>
        </w:rPr>
        <w:lastRenderedPageBreak/>
        <w:t xml:space="preserve">O a través de la siguiente </w:t>
      </w:r>
      <w:r>
        <w:rPr>
          <w:rFonts w:ascii="Arial" w:hAnsi="Arial" w:cs="Arial"/>
          <w:b/>
        </w:rPr>
        <w:t>ruta de acceso</w:t>
      </w:r>
      <w:hyperlink r:id="rId11" w:history="1">
        <w:r>
          <w:rPr>
            <w:rStyle w:val="Hipervnculo"/>
            <w:rFonts w:ascii="Arial" w:eastAsiaTheme="minorHAnsi" w:hAnsi="Arial" w:cs="Arial"/>
            <w:bCs/>
            <w:lang w:val="es-MX" w:eastAsia="en-US"/>
          </w:rPr>
          <w:t>http://tonala.gob.mx/portal/</w:t>
        </w:r>
      </w:hyperlink>
      <w:r>
        <w:rPr>
          <w:rFonts w:ascii="Arial" w:eastAsiaTheme="minorHAnsi" w:hAnsi="Arial" w:cs="Arial"/>
          <w:bCs/>
          <w:color w:val="000000"/>
          <w:lang w:val="es-MX" w:eastAsia="en-US"/>
        </w:rPr>
        <w:t xml:space="preserve"> Apartado de Transparencia- Información Fundamental- Articulo 8- Numeral 1 Fracción V- Inciso </w:t>
      </w:r>
      <w:r>
        <w:rPr>
          <w:rStyle w:val="collapseomatic"/>
          <w:rFonts w:ascii="Arial" w:hAnsi="Arial" w:cs="Arial"/>
          <w:bCs/>
          <w:color w:val="444444"/>
          <w:bdr w:val="none" w:sz="0" w:space="0" w:color="auto" w:frame="1"/>
          <w:shd w:val="clear" w:color="auto" w:fill="FFFFFF"/>
        </w:rPr>
        <w:t xml:space="preserve">n) Las cuentas públicas, las auditorías internas y externas, así como los demás informes de gestión financiera del sujeto obligado, de cuando menos los últimos tres años: </w:t>
      </w:r>
      <w:r>
        <w:rPr>
          <w:rStyle w:val="collapseomatic"/>
          <w:rFonts w:ascii="Arial" w:hAnsi="Arial" w:cs="Arial"/>
          <w:bCs/>
          <w:bdr w:val="none" w:sz="0" w:space="0" w:color="auto" w:frame="1"/>
          <w:shd w:val="clear" w:color="auto" w:fill="FFFFFF"/>
        </w:rPr>
        <w:t>Año 2016- Cuenta Publica Diciembre</w:t>
      </w:r>
    </w:p>
    <w:p w:rsidR="00F41780" w:rsidRDefault="00F41780" w:rsidP="00F41780">
      <w:pPr>
        <w:autoSpaceDE w:val="0"/>
        <w:autoSpaceDN w:val="0"/>
        <w:adjustRightInd w:val="0"/>
        <w:jc w:val="both"/>
        <w:rPr>
          <w:rStyle w:val="collapseomatic"/>
          <w:rFonts w:ascii="Arial" w:hAnsi="Arial" w:cs="Arial"/>
          <w:bCs/>
          <w:bdr w:val="none" w:sz="0" w:space="0" w:color="auto" w:frame="1"/>
          <w:shd w:val="clear" w:color="auto" w:fill="FFFFFF"/>
        </w:rPr>
      </w:pPr>
    </w:p>
    <w:p w:rsidR="00F41780" w:rsidRDefault="00F41780" w:rsidP="00F41780">
      <w:pPr>
        <w:autoSpaceDE w:val="0"/>
        <w:autoSpaceDN w:val="0"/>
        <w:adjustRightInd w:val="0"/>
        <w:jc w:val="both"/>
        <w:rPr>
          <w:rStyle w:val="collapseomatic"/>
          <w:rFonts w:ascii="Arial" w:hAnsi="Arial" w:cs="Arial"/>
          <w:bCs/>
          <w:bdr w:val="none" w:sz="0" w:space="0" w:color="auto" w:frame="1"/>
          <w:shd w:val="clear" w:color="auto" w:fill="FFFFFF"/>
        </w:rPr>
      </w:pPr>
      <w:r>
        <w:rPr>
          <w:rStyle w:val="collapseomatic"/>
          <w:rFonts w:ascii="Arial" w:hAnsi="Arial" w:cs="Arial"/>
          <w:bCs/>
          <w:bdr w:val="none" w:sz="0" w:space="0" w:color="auto" w:frame="1"/>
          <w:shd w:val="clear" w:color="auto" w:fill="FFFFFF"/>
        </w:rPr>
        <w:t xml:space="preserve">Puede consultar directamente en el siguiente </w:t>
      </w:r>
      <w:r>
        <w:rPr>
          <w:rStyle w:val="collapseomatic"/>
          <w:rFonts w:ascii="Arial" w:hAnsi="Arial" w:cs="Arial"/>
          <w:b/>
          <w:bCs/>
          <w:bdr w:val="none" w:sz="0" w:space="0" w:color="auto" w:frame="1"/>
          <w:shd w:val="clear" w:color="auto" w:fill="FFFFFF"/>
        </w:rPr>
        <w:t>link:</w:t>
      </w:r>
    </w:p>
    <w:p w:rsidR="00F41780" w:rsidRDefault="00F41780" w:rsidP="00F41780">
      <w:pPr>
        <w:autoSpaceDE w:val="0"/>
        <w:autoSpaceDN w:val="0"/>
        <w:adjustRightInd w:val="0"/>
        <w:jc w:val="both"/>
        <w:rPr>
          <w:rStyle w:val="collapseomatic"/>
          <w:rFonts w:ascii="Arial" w:hAnsi="Arial" w:cs="Arial"/>
          <w:bCs/>
          <w:bdr w:val="none" w:sz="0" w:space="0" w:color="auto" w:frame="1"/>
          <w:shd w:val="clear" w:color="auto" w:fill="FFFFFF"/>
        </w:rPr>
      </w:pPr>
      <w:hyperlink r:id="rId12" w:history="1">
        <w:r>
          <w:rPr>
            <w:rStyle w:val="Hipervnculo"/>
            <w:rFonts w:ascii="Arial" w:hAnsi="Arial" w:cs="Arial"/>
            <w:bCs/>
            <w:bdr w:val="none" w:sz="0" w:space="0" w:color="auto" w:frame="1"/>
            <w:shd w:val="clear" w:color="auto" w:fill="FFFFFF"/>
          </w:rPr>
          <w:t>http://tonala.gob.mx/portal/assets/Cuenta_Publica_Diciembre_2016.pdf</w:t>
        </w:r>
      </w:hyperlink>
    </w:p>
    <w:p w:rsidR="00F41780" w:rsidRDefault="00F41780" w:rsidP="00F41780">
      <w:pPr>
        <w:autoSpaceDE w:val="0"/>
        <w:autoSpaceDN w:val="0"/>
        <w:adjustRightInd w:val="0"/>
        <w:jc w:val="both"/>
        <w:rPr>
          <w:rStyle w:val="collapseomatic"/>
          <w:rFonts w:ascii="Arial" w:hAnsi="Arial" w:cs="Arial"/>
          <w:bCs/>
          <w:bdr w:val="none" w:sz="0" w:space="0" w:color="auto" w:frame="1"/>
          <w:shd w:val="clear" w:color="auto" w:fill="FFFFFF"/>
        </w:rPr>
      </w:pPr>
      <w:r>
        <w:rPr>
          <w:rFonts w:ascii="Arial" w:hAnsi="Arial" w:cs="Arial"/>
          <w:noProof/>
          <w:color w:val="444444"/>
          <w:lang w:val="es-MX" w:eastAsia="es-MX"/>
        </w:rPr>
        <w:drawing>
          <wp:inline distT="0" distB="0" distL="0" distR="0">
            <wp:extent cx="6115050" cy="2276475"/>
            <wp:effectExtent l="19050" t="0" r="0" b="0"/>
            <wp:docPr id="1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6"/>
                    <pic:cNvPicPr>
                      <a:picLocks noChangeAspect="1" noChangeArrowheads="1"/>
                    </pic:cNvPicPr>
                  </pic:nvPicPr>
                  <pic:blipFill>
                    <a:blip r:embed="rId8" cstate="print"/>
                    <a:srcRect/>
                    <a:stretch>
                      <a:fillRect/>
                    </a:stretch>
                  </pic:blipFill>
                  <pic:spPr bwMode="auto">
                    <a:xfrm>
                      <a:off x="0" y="0"/>
                      <a:ext cx="6115050" cy="2276475"/>
                    </a:xfrm>
                    <a:prstGeom prst="rect">
                      <a:avLst/>
                    </a:prstGeom>
                    <a:noFill/>
                    <a:ln w="9525">
                      <a:noFill/>
                      <a:miter lim="800000"/>
                      <a:headEnd/>
                      <a:tailEnd/>
                    </a:ln>
                  </pic:spPr>
                </pic:pic>
              </a:graphicData>
            </a:graphic>
          </wp:inline>
        </w:drawing>
      </w:r>
    </w:p>
    <w:p w:rsidR="00F41780" w:rsidRDefault="00F41780" w:rsidP="00F41780">
      <w:pPr>
        <w:autoSpaceDE w:val="0"/>
        <w:autoSpaceDN w:val="0"/>
        <w:adjustRightInd w:val="0"/>
        <w:jc w:val="both"/>
        <w:rPr>
          <w:rStyle w:val="collapseomatic"/>
          <w:rFonts w:ascii="Arial" w:hAnsi="Arial" w:cs="Arial"/>
          <w:bCs/>
          <w:bdr w:val="none" w:sz="0" w:space="0" w:color="auto" w:frame="1"/>
          <w:shd w:val="clear" w:color="auto" w:fill="FFFFFF"/>
        </w:rPr>
      </w:pPr>
    </w:p>
    <w:p w:rsidR="00F41780" w:rsidRDefault="00F41780" w:rsidP="00F41780">
      <w:pPr>
        <w:autoSpaceDE w:val="0"/>
        <w:autoSpaceDN w:val="0"/>
        <w:adjustRightInd w:val="0"/>
        <w:ind w:left="708" w:firstLine="708"/>
        <w:jc w:val="both"/>
        <w:rPr>
          <w:rStyle w:val="collapseomatic"/>
          <w:rFonts w:ascii="Arial" w:hAnsi="Arial" w:cs="Arial"/>
          <w:bCs/>
          <w:bdr w:val="none" w:sz="0" w:space="0" w:color="auto" w:frame="1"/>
          <w:shd w:val="clear" w:color="auto" w:fill="FFFFFF"/>
        </w:rPr>
      </w:pPr>
      <w:r>
        <w:rPr>
          <w:noProof/>
          <w:lang w:val="es-MX" w:eastAsia="es-MX"/>
        </w:rPr>
        <w:drawing>
          <wp:inline distT="0" distB="0" distL="0" distR="0">
            <wp:extent cx="2257425" cy="3009900"/>
            <wp:effectExtent l="19050" t="0" r="9525" b="0"/>
            <wp:docPr id="17" name="Gráfico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87"/>
                    <pic:cNvPicPr>
                      <a:picLocks noChangeArrowheads="1"/>
                    </pic:cNvPicPr>
                  </pic:nvPicPr>
                  <pic:blipFill>
                    <a:blip r:embed="rId13" cstate="print"/>
                    <a:srcRect b="-43"/>
                    <a:stretch>
                      <a:fillRect/>
                    </a:stretch>
                  </pic:blipFill>
                  <pic:spPr bwMode="auto">
                    <a:xfrm>
                      <a:off x="0" y="0"/>
                      <a:ext cx="2257425" cy="3009900"/>
                    </a:xfrm>
                    <a:prstGeom prst="rect">
                      <a:avLst/>
                    </a:prstGeom>
                    <a:noFill/>
                    <a:ln w="9525">
                      <a:noFill/>
                      <a:miter lim="800000"/>
                      <a:headEnd/>
                      <a:tailEnd/>
                    </a:ln>
                  </pic:spPr>
                </pic:pic>
              </a:graphicData>
            </a:graphic>
          </wp:inline>
        </w:drawing>
      </w:r>
      <w:r>
        <w:rPr>
          <w:noProof/>
          <w:lang w:val="es-MX" w:eastAsia="es-MX"/>
        </w:rPr>
        <w:drawing>
          <wp:inline distT="0" distB="0" distL="0" distR="0">
            <wp:extent cx="2219325" cy="3019425"/>
            <wp:effectExtent l="0" t="0" r="0" b="0"/>
            <wp:docPr id="18" name="Gráfico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1780" w:rsidRDefault="00F41780" w:rsidP="00F41780">
      <w:pPr>
        <w:jc w:val="both"/>
        <w:rPr>
          <w:rFonts w:ascii="Arial" w:eastAsiaTheme="minorHAnsi" w:hAnsi="Arial" w:cs="Arial"/>
          <w:b/>
          <w:bCs/>
          <w:color w:val="000000"/>
          <w:lang w:val="es-MX" w:eastAsia="en-US"/>
        </w:rPr>
      </w:pPr>
    </w:p>
    <w:p w:rsidR="00F41780" w:rsidRDefault="00F41780" w:rsidP="00F41780">
      <w:pPr>
        <w:jc w:val="both"/>
        <w:rPr>
          <w:rFonts w:ascii="Arial" w:eastAsiaTheme="minorHAnsi" w:hAnsi="Arial" w:cs="Arial"/>
          <w:b/>
          <w:bCs/>
          <w:color w:val="000000"/>
          <w:lang w:val="es-MX" w:eastAsia="en-US"/>
        </w:rPr>
      </w:pPr>
    </w:p>
    <w:p w:rsidR="00F41780" w:rsidRDefault="00F41780" w:rsidP="00F41780">
      <w:pPr>
        <w:jc w:val="both"/>
      </w:pPr>
      <w:r>
        <w:rPr>
          <w:rFonts w:ascii="Arial" w:eastAsiaTheme="minorHAnsi" w:hAnsi="Arial" w:cs="Arial"/>
          <w:b/>
          <w:bCs/>
          <w:color w:val="000000"/>
          <w:lang w:val="es-MX" w:eastAsia="en-US"/>
        </w:rPr>
        <w:lastRenderedPageBreak/>
        <w:t xml:space="preserve">Fundamentación: </w:t>
      </w:r>
      <w:r>
        <w:rPr>
          <w:rFonts w:ascii="Arial" w:eastAsiaTheme="minorHAnsi" w:hAnsi="Arial" w:cs="Arial"/>
          <w:bCs/>
          <w:color w:val="000000"/>
          <w:lang w:val="es-MX" w:eastAsia="en-US"/>
        </w:rPr>
        <w:t>A</w:t>
      </w:r>
      <w:r>
        <w:rPr>
          <w:rFonts w:ascii="Arial" w:eastAsiaTheme="minorHAnsi" w:hAnsi="Arial" w:cs="Arial"/>
          <w:color w:val="000000"/>
          <w:lang w:val="es-MX" w:eastAsia="en-US"/>
        </w:rPr>
        <w:t xml:space="preserve">rtículos 5 de la Ley de Deuda Pública del Estado de Jalisco y sus Municipios, </w:t>
      </w:r>
      <w:r>
        <w:rPr>
          <w:rFonts w:ascii="Arial" w:hAnsi="Arial" w:cs="Arial"/>
        </w:rPr>
        <w:t>en la Ley de Disciplina Financiera de las Entidades Federativas y los Municipios.</w:t>
      </w:r>
    </w:p>
    <w:p w:rsidR="00F41780" w:rsidRDefault="00F41780" w:rsidP="00F41780">
      <w:pPr>
        <w:autoSpaceDE w:val="0"/>
        <w:autoSpaceDN w:val="0"/>
        <w:adjustRightInd w:val="0"/>
        <w:jc w:val="both"/>
        <w:rPr>
          <w:rFonts w:ascii="Arial" w:eastAsiaTheme="minorHAnsi" w:hAnsi="Arial" w:cs="Arial"/>
          <w:color w:val="000000"/>
          <w:lang w:val="es-MX" w:eastAsia="en-US"/>
        </w:rPr>
      </w:pPr>
      <w:r>
        <w:rPr>
          <w:rFonts w:ascii="Arial" w:eastAsiaTheme="minorHAnsi" w:hAnsi="Arial" w:cs="Arial"/>
          <w:color w:val="000000"/>
          <w:lang w:val="es-MX" w:eastAsia="en-US"/>
        </w:rPr>
        <w:t xml:space="preserve">Articulo 8 Numeral 1 Fracción V Inciso n) y w) de la Ley de Transparencia y Acceso a la Información Pública del Estado de Jalisco y sus Municipios </w:t>
      </w:r>
    </w:p>
    <w:p w:rsidR="00F41780" w:rsidRDefault="00F41780" w:rsidP="00F41780">
      <w:pPr>
        <w:autoSpaceDE w:val="0"/>
        <w:autoSpaceDN w:val="0"/>
        <w:adjustRightInd w:val="0"/>
        <w:jc w:val="both"/>
        <w:rPr>
          <w:rFonts w:ascii="Arial" w:eastAsiaTheme="minorHAnsi" w:hAnsi="Arial" w:cs="Arial"/>
          <w:color w:val="000000"/>
          <w:lang w:val="es-MX" w:eastAsia="en-US"/>
        </w:rPr>
      </w:pPr>
    </w:p>
    <w:p w:rsidR="00F41780" w:rsidRDefault="00F41780" w:rsidP="00F41780">
      <w:pPr>
        <w:autoSpaceDE w:val="0"/>
        <w:autoSpaceDN w:val="0"/>
        <w:adjustRightInd w:val="0"/>
        <w:jc w:val="both"/>
        <w:rPr>
          <w:rFonts w:ascii="Arial" w:eastAsiaTheme="minorHAnsi" w:hAnsi="Arial" w:cs="Arial"/>
          <w:bCs/>
          <w:color w:val="000000" w:themeColor="text1"/>
          <w:lang w:val="es-MX" w:eastAsia="en-US"/>
        </w:rPr>
      </w:pPr>
      <w:r>
        <w:rPr>
          <w:rFonts w:ascii="Arial" w:eastAsiaTheme="minorHAnsi" w:hAnsi="Arial" w:cs="Arial"/>
          <w:b/>
          <w:bCs/>
          <w:color w:val="000000"/>
          <w:lang w:val="es-MX" w:eastAsia="en-US"/>
        </w:rPr>
        <w:t xml:space="preserve">Fuente: </w:t>
      </w:r>
      <w:r>
        <w:rPr>
          <w:rFonts w:ascii="Arial" w:eastAsiaTheme="minorHAnsi" w:hAnsi="Arial" w:cs="Arial"/>
          <w:bCs/>
          <w:color w:val="000000"/>
          <w:lang w:val="es-MX" w:eastAsia="en-US"/>
        </w:rPr>
        <w:t>S</w:t>
      </w:r>
      <w:r>
        <w:rPr>
          <w:rFonts w:ascii="Arial" w:eastAsiaTheme="minorHAnsi" w:hAnsi="Arial" w:cs="Arial"/>
          <w:color w:val="000000"/>
          <w:lang w:val="es-MX" w:eastAsia="en-US"/>
        </w:rPr>
        <w:t xml:space="preserve">itio oficial de internet del Gobierno Municipal de Tonalá, Jalisco </w:t>
      </w:r>
    </w:p>
    <w:p w:rsidR="00F41780" w:rsidRDefault="00F41780" w:rsidP="00F41780">
      <w:pPr>
        <w:autoSpaceDE w:val="0"/>
        <w:autoSpaceDN w:val="0"/>
        <w:adjustRightInd w:val="0"/>
        <w:jc w:val="both"/>
        <w:rPr>
          <w:rFonts w:ascii="Arial" w:eastAsiaTheme="minorHAnsi" w:hAnsi="Arial" w:cs="Arial"/>
          <w:bCs/>
          <w:color w:val="000000" w:themeColor="text1"/>
          <w:lang w:val="es-MX" w:eastAsia="en-US"/>
        </w:rPr>
      </w:pPr>
    </w:p>
    <w:p w:rsidR="00F41780" w:rsidRPr="00F41780" w:rsidRDefault="00F41780">
      <w:pPr>
        <w:rPr>
          <w:lang w:val="es-MX"/>
        </w:rPr>
      </w:pPr>
    </w:p>
    <w:sectPr w:rsidR="00F41780" w:rsidRPr="00F41780" w:rsidSect="00D44C74">
      <w:head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87" w:rsidRDefault="00E77487" w:rsidP="00F41780">
      <w:r>
        <w:separator/>
      </w:r>
    </w:p>
  </w:endnote>
  <w:endnote w:type="continuationSeparator" w:id="0">
    <w:p w:rsidR="00E77487" w:rsidRDefault="00E77487" w:rsidP="00F417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87" w:rsidRDefault="00E77487" w:rsidP="00F41780">
      <w:r>
        <w:separator/>
      </w:r>
    </w:p>
  </w:footnote>
  <w:footnote w:type="continuationSeparator" w:id="0">
    <w:p w:rsidR="00E77487" w:rsidRDefault="00E77487" w:rsidP="00F41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80" w:rsidRDefault="00F41780">
    <w:pPr>
      <w:pStyle w:val="Encabezado"/>
    </w:pPr>
    <w:r>
      <w:rPr>
        <w:noProof/>
        <w:lang w:eastAsia="es-MX"/>
      </w:rPr>
      <w:drawing>
        <wp:inline distT="0" distB="0" distL="0" distR="0">
          <wp:extent cx="688474" cy="981075"/>
          <wp:effectExtent l="19050" t="0" r="0"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688474" cy="981075"/>
                  </a:xfrm>
                  <a:prstGeom prst="rect">
                    <a:avLst/>
                  </a:prstGeom>
                  <a:noFill/>
                  <a:ln w="9525">
                    <a:noFill/>
                    <a:miter lim="800000"/>
                    <a:headEnd/>
                    <a:tailEnd/>
                  </a:ln>
                </pic:spPr>
              </pic:pic>
            </a:graphicData>
          </a:graphic>
        </wp:inline>
      </w:drawing>
    </w:r>
    <w:r>
      <w:t xml:space="preserve"> </w:t>
    </w:r>
    <w:r>
      <w:rPr>
        <w:noProof/>
        <w:lang w:eastAsia="es-MX"/>
      </w:rPr>
      <w:t xml:space="preserve">                                                                                                          </w:t>
    </w:r>
    <w:r>
      <w:rPr>
        <w:noProof/>
        <w:lang w:eastAsia="es-MX"/>
      </w:rPr>
      <w:drawing>
        <wp:inline distT="0" distB="0" distL="0" distR="0">
          <wp:extent cx="1476375" cy="996553"/>
          <wp:effectExtent l="0" t="0" r="0" b="0"/>
          <wp:docPr id="4"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476375" cy="99655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F41780"/>
    <w:rsid w:val="00D44C74"/>
    <w:rsid w:val="00E77487"/>
    <w:rsid w:val="00F41780"/>
    <w:rsid w:val="00FE60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8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4178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semiHidden/>
    <w:rsid w:val="00F41780"/>
  </w:style>
  <w:style w:type="paragraph" w:styleId="Piedepgina">
    <w:name w:val="footer"/>
    <w:basedOn w:val="Normal"/>
    <w:link w:val="PiedepginaCar"/>
    <w:uiPriority w:val="99"/>
    <w:semiHidden/>
    <w:unhideWhenUsed/>
    <w:rsid w:val="00F4178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semiHidden/>
    <w:rsid w:val="00F41780"/>
  </w:style>
  <w:style w:type="paragraph" w:styleId="Textodeglobo">
    <w:name w:val="Balloon Text"/>
    <w:basedOn w:val="Normal"/>
    <w:link w:val="TextodegloboCar"/>
    <w:uiPriority w:val="99"/>
    <w:semiHidden/>
    <w:unhideWhenUsed/>
    <w:rsid w:val="00F41780"/>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F41780"/>
    <w:rPr>
      <w:rFonts w:ascii="Tahoma" w:hAnsi="Tahoma" w:cs="Tahoma"/>
      <w:sz w:val="16"/>
      <w:szCs w:val="16"/>
    </w:rPr>
  </w:style>
  <w:style w:type="character" w:styleId="Hipervnculo">
    <w:name w:val="Hyperlink"/>
    <w:basedOn w:val="Fuentedeprrafopredeter"/>
    <w:uiPriority w:val="99"/>
    <w:semiHidden/>
    <w:unhideWhenUsed/>
    <w:rsid w:val="00F41780"/>
    <w:rPr>
      <w:color w:val="0000FF" w:themeColor="hyperlink"/>
      <w:u w:val="single"/>
    </w:rPr>
  </w:style>
  <w:style w:type="character" w:customStyle="1" w:styleId="collapseomatic">
    <w:name w:val="collapseomatic"/>
    <w:basedOn w:val="Fuentedeprrafopredeter"/>
    <w:rsid w:val="00F41780"/>
  </w:style>
</w:styles>
</file>

<file path=word/webSettings.xml><?xml version="1.0" encoding="utf-8"?>
<w:webSettings xmlns:r="http://schemas.openxmlformats.org/officeDocument/2006/relationships" xmlns:w="http://schemas.openxmlformats.org/wordprocessingml/2006/main">
  <w:divs>
    <w:div w:id="21343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tonala.gob.mx/portal/wp-content/uploads/2017/02/Estado-de-la-Deuda-P&#250;blica-Diciembre-2016.pdf" TargetMode="External"/><Relationship Id="rId12" Type="http://schemas.openxmlformats.org/officeDocument/2006/relationships/hyperlink" Target="http://tonala.gob.mx/portal/assets/Cuenta_Publica_Diciembre_2016.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onala.gob.mx/portal/" TargetMode="External"/><Relationship Id="rId11" Type="http://schemas.openxmlformats.org/officeDocument/2006/relationships/hyperlink" Target="http://tonala.gob.mx/porta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18"/>
  <c:chart>
    <c:title>
      <c:tx>
        <c:rich>
          <a:bodyPr/>
          <a:lstStyle/>
          <a:p>
            <a:pPr>
              <a:defRPr lang="es-ES"/>
            </a:pPr>
            <a:r>
              <a:rPr lang="es-MX"/>
              <a:t>SERVICIO DE LA DEUDA</a:t>
            </a:r>
          </a:p>
        </c:rich>
      </c:tx>
      <c:overlay val="1"/>
      <c:spPr>
        <a:solidFill>
          <a:schemeClr val="bg1"/>
        </a:solidFill>
        <a:ln>
          <a:solidFill>
            <a:sysClr val="windowText" lastClr="000000"/>
          </a:solidFill>
        </a:ln>
      </c:spPr>
    </c:title>
    <c:plotArea>
      <c:layout/>
      <c:barChart>
        <c:barDir val="col"/>
        <c:grouping val="stacked"/>
        <c:ser>
          <c:idx val="0"/>
          <c:order val="0"/>
          <c:cat>
            <c:strRef>
              <c:f>IDP!$AV$18:$AV$29</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IDP!$AR$18:$AR$29</c:f>
              <c:numCache>
                <c:formatCode>#,##0.00</c:formatCode>
                <c:ptCount val="12"/>
                <c:pt idx="0">
                  <c:v>0</c:v>
                </c:pt>
                <c:pt idx="1">
                  <c:v>151840.99</c:v>
                </c:pt>
                <c:pt idx="2">
                  <c:v>103676</c:v>
                </c:pt>
                <c:pt idx="3">
                  <c:v>0</c:v>
                </c:pt>
                <c:pt idx="4">
                  <c:v>277466.99000000011</c:v>
                </c:pt>
                <c:pt idx="5">
                  <c:v>203383</c:v>
                </c:pt>
                <c:pt idx="6">
                  <c:v>0</c:v>
                </c:pt>
                <c:pt idx="7">
                  <c:v>603100</c:v>
                </c:pt>
                <c:pt idx="8">
                  <c:v>420572</c:v>
                </c:pt>
                <c:pt idx="9">
                  <c:v>514816</c:v>
                </c:pt>
                <c:pt idx="10">
                  <c:v>620978</c:v>
                </c:pt>
                <c:pt idx="11">
                  <c:v>0</c:v>
                </c:pt>
              </c:numCache>
            </c:numRef>
          </c:val>
        </c:ser>
        <c:ser>
          <c:idx val="1"/>
          <c:order val="1"/>
          <c:cat>
            <c:strRef>
              <c:f>IDP!$AV$18:$AV$29</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IDP!$AS$18:$AS$29</c:f>
              <c:numCache>
                <c:formatCode>#,##0.00</c:formatCode>
                <c:ptCount val="12"/>
                <c:pt idx="0">
                  <c:v>558.02</c:v>
                </c:pt>
                <c:pt idx="1">
                  <c:v>12448212.93</c:v>
                </c:pt>
                <c:pt idx="2">
                  <c:v>6842571.1000000006</c:v>
                </c:pt>
                <c:pt idx="3">
                  <c:v>0</c:v>
                </c:pt>
                <c:pt idx="4">
                  <c:v>13505115.15</c:v>
                </c:pt>
                <c:pt idx="5">
                  <c:v>6932502.3000000007</c:v>
                </c:pt>
                <c:pt idx="6">
                  <c:v>0</c:v>
                </c:pt>
                <c:pt idx="7">
                  <c:v>12205976.140000001</c:v>
                </c:pt>
                <c:pt idx="8">
                  <c:v>5659074</c:v>
                </c:pt>
                <c:pt idx="9">
                  <c:v>5905616.25</c:v>
                </c:pt>
                <c:pt idx="10">
                  <c:v>6064740.3000000007</c:v>
                </c:pt>
                <c:pt idx="11">
                  <c:v>0</c:v>
                </c:pt>
              </c:numCache>
            </c:numRef>
          </c:val>
        </c:ser>
        <c:gapWidth val="30"/>
        <c:overlap val="100"/>
        <c:axId val="99934208"/>
        <c:axId val="99935744"/>
      </c:barChart>
      <c:catAx>
        <c:axId val="99934208"/>
        <c:scaling>
          <c:orientation val="minMax"/>
        </c:scaling>
        <c:axPos val="b"/>
        <c:numFmt formatCode="General" sourceLinked="1"/>
        <c:tickLblPos val="nextTo"/>
        <c:txPr>
          <a:bodyPr/>
          <a:lstStyle/>
          <a:p>
            <a:pPr>
              <a:defRPr lang="es-ES" b="1"/>
            </a:pPr>
            <a:endParaRPr lang="es-MX"/>
          </a:p>
        </c:txPr>
        <c:crossAx val="99935744"/>
        <c:crosses val="autoZero"/>
        <c:auto val="1"/>
        <c:lblAlgn val="ctr"/>
        <c:lblOffset val="100"/>
      </c:catAx>
      <c:valAx>
        <c:axId val="99935744"/>
        <c:scaling>
          <c:orientation val="minMax"/>
        </c:scaling>
        <c:delete val="1"/>
        <c:axPos val="l"/>
        <c:minorGridlines/>
        <c:numFmt formatCode="#,##0.00" sourceLinked="1"/>
        <c:tickLblPos val="none"/>
        <c:crossAx val="99934208"/>
        <c:crosses val="autoZero"/>
        <c:crossBetween val="between"/>
      </c:valAx>
    </c:plotArea>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448</Words>
  <Characters>2465</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2017-09-07T15:09:00Z</dcterms:created>
  <dcterms:modified xsi:type="dcterms:W3CDTF">2017-09-07T15:12:00Z</dcterms:modified>
</cp:coreProperties>
</file>