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83. ¿Contiene criterios para la administración y gasto de ingresos excedentes?</w:t>
      </w:r>
    </w:p>
    <w:p w:rsidR="002B32EA" w:rsidRPr="00080C4C" w:rsidRDefault="002B32EA" w:rsidP="002B32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61918">
        <w:rPr>
          <w:rFonts w:ascii="Arial" w:eastAsiaTheme="minorHAnsi" w:hAnsi="Arial" w:cs="Arial"/>
          <w:color w:val="000000"/>
          <w:lang w:eastAsia="en-US"/>
        </w:rPr>
        <w:t>Se establecen normas y requisitos que se deben cumplir para la administración y gastos de ingresos excedentes</w:t>
      </w:r>
      <w:r>
        <w:rPr>
          <w:rFonts w:ascii="Arial" w:eastAsiaTheme="minorHAnsi" w:hAnsi="Arial" w:cs="Arial"/>
          <w:color w:val="000000"/>
          <w:lang w:eastAsia="en-US"/>
        </w:rPr>
        <w:t xml:space="preserve">. En el </w:t>
      </w:r>
      <w:r>
        <w:rPr>
          <w:rFonts w:ascii="Arial" w:eastAsiaTheme="minorHAnsi" w:hAnsi="Arial" w:cs="Arial"/>
          <w:lang w:val="es-MX" w:eastAsia="en-US"/>
        </w:rPr>
        <w:t xml:space="preserve">Presupuesto de Egresos autorizado para el ejercicio fiscal 2017, de acuerdo al </w:t>
      </w:r>
      <w:r w:rsidRPr="00080C4C">
        <w:rPr>
          <w:rFonts w:ascii="Arial" w:hAnsi="Arial" w:cs="Arial"/>
          <w:color w:val="000000"/>
        </w:rPr>
        <w:t xml:space="preserve">Artículo 227 del </w:t>
      </w:r>
      <w:r w:rsidRPr="00080C4C">
        <w:rPr>
          <w:rFonts w:ascii="Arial" w:hAnsi="Arial" w:cs="Arial"/>
        </w:rPr>
        <w:t>Reglamento del Gobierno y la Administración Pública del Ayuntamiento Constitucional de Tonalá, Jalisco.</w:t>
      </w: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B32EA" w:rsidRPr="00BE035C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lang w:eastAsia="en-US"/>
        </w:rPr>
        <w:t xml:space="preserve">Se puede consultar en </w:t>
      </w:r>
      <w:r>
        <w:rPr>
          <w:rFonts w:ascii="Arial" w:eastAsiaTheme="minorHAnsi" w:hAnsi="Arial" w:cs="Arial"/>
          <w:lang w:val="es-MX" w:eastAsia="en-US"/>
        </w:rPr>
        <w:t xml:space="preserve">la siguiente </w:t>
      </w:r>
      <w:r w:rsidRPr="00C71B91">
        <w:rPr>
          <w:rFonts w:ascii="Arial" w:eastAsiaTheme="minorHAnsi" w:hAnsi="Arial" w:cs="Arial"/>
          <w:b/>
          <w:lang w:val="es-MX" w:eastAsia="en-US"/>
        </w:rPr>
        <w:t>R</w:t>
      </w:r>
      <w:r>
        <w:rPr>
          <w:rFonts w:ascii="Arial" w:eastAsiaTheme="minorHAnsi" w:hAnsi="Arial" w:cs="Arial"/>
          <w:b/>
          <w:bCs/>
          <w:lang w:val="es-MX" w:eastAsia="en-US"/>
        </w:rPr>
        <w:t xml:space="preserve">uta de acceso: </w:t>
      </w:r>
      <w:hyperlink r:id="rId6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lang w:val="es-MX" w:eastAsia="en-US"/>
        </w:rPr>
        <w:t xml:space="preserve">  Apartado de Transparencia- Leyes y Reglamentos- Reglamentos-</w:t>
      </w:r>
      <w:hyperlink r:id="rId7" w:history="1">
        <w:r w:rsidRPr="00BE035C">
          <w:rPr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Reglamento del Gobierno y la Administración Pública del Ayuntamiento Constitucional de Tonalá (VIGENTE)</w:t>
        </w:r>
      </w:hyperlink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lang w:val="es-MX" w:eastAsia="en-US"/>
        </w:rPr>
      </w:pPr>
      <w:r w:rsidRPr="00C56503">
        <w:rPr>
          <w:rFonts w:ascii="Arial" w:eastAsiaTheme="minorHAnsi" w:hAnsi="Arial" w:cs="Arial"/>
          <w:color w:val="000000" w:themeColor="text1"/>
          <w:lang w:val="es-MX" w:eastAsia="en-US"/>
        </w:rPr>
        <w:t xml:space="preserve">Puede consultar directamente </w:t>
      </w:r>
      <w:r>
        <w:rPr>
          <w:rFonts w:ascii="Arial" w:eastAsiaTheme="minorHAnsi" w:hAnsi="Arial" w:cs="Arial"/>
          <w:color w:val="000000" w:themeColor="text1"/>
          <w:lang w:val="es-MX" w:eastAsia="en-US"/>
        </w:rPr>
        <w:t xml:space="preserve">el </w:t>
      </w:r>
      <w:hyperlink r:id="rId8" w:history="1">
        <w:r w:rsidRPr="003F07B7">
          <w:rPr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Reglamento del Gobierno y la Administración Pública del Ayuntamiento Constitucional de Tonalá (VIGENTE)</w:t>
        </w:r>
      </w:hyperlink>
      <w:r w:rsidRPr="00974410">
        <w:rPr>
          <w:rFonts w:ascii="Arial" w:eastAsiaTheme="minorHAnsi" w:hAnsi="Arial" w:cs="Arial"/>
          <w:color w:val="000000" w:themeColor="text1"/>
          <w:lang w:val="es-MX" w:eastAsia="en-US"/>
        </w:rPr>
        <w:t>en el sigu</w:t>
      </w:r>
      <w:r w:rsidRPr="00C56503">
        <w:rPr>
          <w:rFonts w:ascii="Arial" w:eastAsiaTheme="minorHAnsi" w:hAnsi="Arial" w:cs="Arial"/>
          <w:color w:val="000000" w:themeColor="text1"/>
          <w:lang w:val="es-MX" w:eastAsia="en-US"/>
        </w:rPr>
        <w:t>iente</w:t>
      </w:r>
      <w:r>
        <w:rPr>
          <w:rFonts w:ascii="Arial" w:eastAsiaTheme="minorHAnsi" w:hAnsi="Arial" w:cs="Arial"/>
          <w:b/>
          <w:color w:val="000000" w:themeColor="text1"/>
          <w:lang w:val="es-MX" w:eastAsia="en-US"/>
        </w:rPr>
        <w:t xml:space="preserve"> link:</w:t>
      </w: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000000" w:themeColor="text1"/>
          <w:lang w:val="es-MX" w:eastAsia="en-US"/>
        </w:rPr>
      </w:pPr>
      <w:hyperlink r:id="rId9" w:history="1">
        <w:r w:rsidRPr="00A6161F">
          <w:rPr>
            <w:rStyle w:val="Hipervnculo"/>
            <w:rFonts w:ascii="Arial" w:eastAsiaTheme="minorHAnsi" w:hAnsi="Arial" w:cs="Arial"/>
            <w:b/>
            <w:lang w:val="es-MX" w:eastAsia="en-US"/>
          </w:rPr>
          <w:t>http://www.tonala.gob.mx/portal/assets/reglamento-del-gobierno-y-la-administraci%C3%B3n-p%C3%BAblica-del-ayuntamiento-constitucional-de-tonal%C3%A1%2c-jalisco-vigente.pdf</w:t>
        </w:r>
      </w:hyperlink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val="es-MX"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val="es-MX"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val="es-MX" w:eastAsia="en-US"/>
        </w:rPr>
      </w:pPr>
    </w:p>
    <w:p w:rsidR="002B32EA" w:rsidRPr="00ED20D1" w:rsidRDefault="002B32EA" w:rsidP="002B32EA">
      <w:pPr>
        <w:jc w:val="center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val="es-MX" w:eastAsia="en-US"/>
        </w:rPr>
      </w:pPr>
      <w:r w:rsidRPr="00ED20D1">
        <w:rPr>
          <w:rFonts w:asciiTheme="majorHAnsi" w:eastAsiaTheme="minorHAnsi" w:hAnsiTheme="majorHAnsi" w:cs="Arial"/>
          <w:noProof/>
          <w:color w:val="000000"/>
          <w:sz w:val="22"/>
          <w:szCs w:val="22"/>
          <w:lang w:val="es-MX" w:eastAsia="es-MX"/>
        </w:rPr>
        <w:drawing>
          <wp:inline distT="0" distB="0" distL="0" distR="0">
            <wp:extent cx="5314950" cy="3179036"/>
            <wp:effectExtent l="19050" t="0" r="0" b="0"/>
            <wp:docPr id="73" name="Imagen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  <w:r w:rsidRPr="001A5A41">
        <w:rPr>
          <w:rFonts w:ascii="Arial" w:hAnsi="Arial" w:cs="Arial"/>
          <w:noProof/>
          <w:color w:val="000000" w:themeColor="text1"/>
          <w:lang w:val="es-MX"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53" o:spid="_x0000_s1026" type="#_x0000_t13" style="position:absolute;left:0;text-align:left;margin-left:-49.5pt;margin-top:199.45pt;width:51.75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" adj="18626" fillcolor="#00b050" strokecolor="windowText" strokeweight="2pt"/>
        </w:pict>
      </w:r>
      <w:r>
        <w:rPr>
          <w:rFonts w:ascii="Arial" w:hAnsi="Arial" w:cs="Arial"/>
          <w:noProof/>
          <w:color w:val="000000" w:themeColor="text1"/>
          <w:lang w:val="es-MX" w:eastAsia="es-MX"/>
        </w:rPr>
        <w:drawing>
          <wp:inline distT="0" distB="0" distL="0" distR="0">
            <wp:extent cx="6115050" cy="3086100"/>
            <wp:effectExtent l="0" t="0" r="0" b="0"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Default="002B32EA" w:rsidP="002B32EA">
      <w:pPr>
        <w:jc w:val="both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</w:p>
    <w:p w:rsidR="002B32EA" w:rsidRPr="00E61918" w:rsidRDefault="002B32EA" w:rsidP="002B32EA">
      <w:pPr>
        <w:jc w:val="center"/>
        <w:textAlignment w:val="top"/>
        <w:rPr>
          <w:rFonts w:asciiTheme="majorHAnsi" w:eastAsiaTheme="min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noProof/>
          <w:color w:val="000000"/>
          <w:sz w:val="22"/>
          <w:szCs w:val="22"/>
          <w:lang w:val="es-MX" w:eastAsia="es-MX"/>
        </w:rPr>
        <w:lastRenderedPageBreak/>
        <w:drawing>
          <wp:inline distT="0" distB="0" distL="0" distR="0">
            <wp:extent cx="5972175" cy="3648075"/>
            <wp:effectExtent l="19050" t="0" r="9525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noProof/>
          <w:lang w:val="es-MX" w:eastAsia="es-MX"/>
        </w:rPr>
        <w:lastRenderedPageBreak/>
        <w:drawing>
          <wp:inline distT="0" distB="0" distL="0" distR="0">
            <wp:extent cx="6115050" cy="3952875"/>
            <wp:effectExtent l="0" t="0" r="0" b="9525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B32EA" w:rsidRPr="00E61918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s-MX" w:eastAsia="es-MX"/>
        </w:rPr>
        <w:drawing>
          <wp:inline distT="0" distB="0" distL="0" distR="0">
            <wp:extent cx="6115050" cy="3209925"/>
            <wp:effectExtent l="0" t="0" r="0" b="952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2B32EA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2B32EA" w:rsidRPr="00723FD5" w:rsidRDefault="002B32EA" w:rsidP="002B32EA">
      <w:pPr>
        <w:tabs>
          <w:tab w:val="left" w:pos="-720"/>
        </w:tabs>
        <w:suppressAutoHyphens/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080C4C">
        <w:rPr>
          <w:rFonts w:ascii="Arial" w:hAnsi="Arial" w:cs="Arial"/>
        </w:rPr>
        <w:t>Reglamento del Gobierno y la Administración Pública del Ayuntamiento Constitucional de Tonalá, Jalisco</w:t>
      </w:r>
    </w:p>
    <w:p w:rsidR="002B32EA" w:rsidRPr="001D55A2" w:rsidRDefault="002B32EA" w:rsidP="002B32E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lang w:eastAsia="en-US"/>
        </w:rPr>
      </w:pPr>
    </w:p>
    <w:p w:rsidR="002B32EA" w:rsidRDefault="002B32EA" w:rsidP="002B32EA">
      <w:pPr>
        <w:spacing w:after="200" w:line="276" w:lineRule="auto"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Fuente: </w:t>
      </w:r>
      <w:r w:rsidRPr="00717885">
        <w:rPr>
          <w:rFonts w:ascii="Arial" w:eastAsiaTheme="minorHAnsi" w:hAnsi="Arial" w:cs="Arial"/>
          <w:b/>
          <w:color w:val="000000"/>
          <w:lang w:val="es-MX" w:eastAsia="en-US"/>
        </w:rPr>
        <w:t>Fuente:</w:t>
      </w:r>
      <w:r>
        <w:rPr>
          <w:rFonts w:ascii="Arial" w:eastAsiaTheme="minorHAnsi" w:hAnsi="Arial" w:cs="Arial"/>
          <w:b/>
          <w:color w:val="000000"/>
          <w:lang w:val="es-MX" w:eastAsia="en-US"/>
        </w:rPr>
        <w:t xml:space="preserve"> </w:t>
      </w:r>
      <w:r w:rsidRPr="002528FC">
        <w:rPr>
          <w:rFonts w:ascii="Arial" w:eastAsiaTheme="minorHAnsi" w:hAnsi="Arial" w:cs="Arial"/>
          <w:lang w:val="es-MX" w:eastAsia="en-US"/>
        </w:rPr>
        <w:t xml:space="preserve">Presupuesto de Egresos para el Ejercicio Fiscal 2017, en el Municipio de Tonalá, Jalisco aprobado bajo Acuerdo No. 574 por el Pleno de este H. Ayuntamiento se publicó en Gaceta </w:t>
      </w:r>
      <w:proofErr w:type="spellStart"/>
      <w:r w:rsidRPr="002528FC">
        <w:rPr>
          <w:rFonts w:ascii="Arial" w:eastAsiaTheme="minorHAnsi" w:hAnsi="Arial" w:cs="Arial"/>
          <w:lang w:val="es-MX" w:eastAsia="en-US"/>
        </w:rPr>
        <w:t>Tonallan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 de </w:t>
      </w:r>
      <w:r>
        <w:rPr>
          <w:rFonts w:ascii="Arial" w:eastAsiaTheme="minorHAnsi" w:hAnsi="Arial" w:cs="Arial"/>
          <w:lang w:val="es-MX" w:eastAsia="en-US"/>
        </w:rPr>
        <w:t>Diciembre</w:t>
      </w:r>
      <w:r w:rsidRPr="002528FC">
        <w:rPr>
          <w:rFonts w:ascii="Arial" w:eastAsiaTheme="minorHAnsi" w:hAnsi="Arial" w:cs="Arial"/>
          <w:lang w:val="es-MX" w:eastAsia="en-US"/>
        </w:rPr>
        <w:t xml:space="preserve"> 201</w:t>
      </w:r>
      <w:r>
        <w:rPr>
          <w:rFonts w:ascii="Arial" w:eastAsiaTheme="minorHAnsi" w:hAnsi="Arial" w:cs="Arial"/>
          <w:lang w:val="es-MX" w:eastAsia="en-US"/>
        </w:rPr>
        <w:t>6.</w:t>
      </w:r>
    </w:p>
    <w:p w:rsidR="00D44C74" w:rsidRPr="002B32EA" w:rsidRDefault="00D44C74">
      <w:pPr>
        <w:rPr>
          <w:lang w:val="es-MX"/>
        </w:rPr>
      </w:pPr>
    </w:p>
    <w:sectPr w:rsidR="00D44C74" w:rsidRPr="002B32EA" w:rsidSect="00D44C74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FC" w:rsidRDefault="008668FC" w:rsidP="002B32EA">
      <w:r>
        <w:separator/>
      </w:r>
    </w:p>
  </w:endnote>
  <w:endnote w:type="continuationSeparator" w:id="0">
    <w:p w:rsidR="008668FC" w:rsidRDefault="008668FC" w:rsidP="002B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FC" w:rsidRDefault="008668FC" w:rsidP="002B32EA">
      <w:r>
        <w:separator/>
      </w:r>
    </w:p>
  </w:footnote>
  <w:footnote w:type="continuationSeparator" w:id="0">
    <w:p w:rsidR="008668FC" w:rsidRDefault="008668FC" w:rsidP="002B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EA" w:rsidRDefault="002B32E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76275" cy="963692"/>
          <wp:effectExtent l="19050" t="0" r="9525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3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MX" w:eastAsia="es-MX"/>
      </w:rPr>
      <w:t xml:space="preserve">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495425" cy="1009412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0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EA"/>
    <w:rsid w:val="002A149A"/>
    <w:rsid w:val="002B32EA"/>
    <w:rsid w:val="008668FC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32E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2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B32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32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B3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32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ala.gob.mx/portal/assets/reglamento-del-gobierno-y-la-administraci%c3%b3n-p%c3%bablica-del-ayuntamiento-constitucional-de-tonal%c3%a1%2c-jalisco-vigente.pdf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tonala.gob.mx/portal/assets/reglamento-del-gobierno-y-la-administraci%c3%b3n-p%c3%bablica-del-ayuntamiento-constitucional-de-tonal%c3%a1%2c-jalisco-vigente.pdf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nala.gob.mx/portal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tonala.gob.mx/portal/assets/reglamento-del-gobierno-y-la-administraci%C3%B3n-p%C3%BAblica-del-ayuntamiento-constitucional-de-tonal%C3%A1%2c-jalisco-vigente.pdf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2017-09-18T16:52:00Z</dcterms:created>
  <dcterms:modified xsi:type="dcterms:W3CDTF">2017-09-18T16:54:00Z</dcterms:modified>
</cp:coreProperties>
</file>