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887" w:rsidRDefault="008A2887" w:rsidP="008A2887">
      <w:pPr>
        <w:tabs>
          <w:tab w:val="left" w:pos="-720"/>
        </w:tabs>
        <w:suppressAutoHyphens/>
        <w:spacing w:after="200" w:line="276" w:lineRule="auto"/>
        <w:contextualSpacing/>
        <w:jc w:val="both"/>
        <w:rPr>
          <w:rFonts w:ascii="Arial" w:eastAsiaTheme="minorHAnsi" w:hAnsi="Arial" w:cs="Arial"/>
          <w:b/>
          <w:bCs/>
          <w:lang w:val="es-MX" w:eastAsia="en-US"/>
        </w:rPr>
      </w:pPr>
    </w:p>
    <w:p w:rsidR="008A2887" w:rsidRDefault="008A2887" w:rsidP="008A2887">
      <w:pPr>
        <w:tabs>
          <w:tab w:val="left" w:pos="-720"/>
        </w:tabs>
        <w:suppressAutoHyphens/>
        <w:spacing w:after="200" w:line="276" w:lineRule="auto"/>
        <w:contextualSpacing/>
        <w:jc w:val="both"/>
        <w:rPr>
          <w:rFonts w:ascii="Arial" w:eastAsiaTheme="minorHAnsi" w:hAnsi="Arial" w:cs="Arial"/>
          <w:b/>
          <w:bCs/>
          <w:lang w:val="es-MX" w:eastAsia="en-US"/>
        </w:rPr>
      </w:pPr>
      <w:r>
        <w:rPr>
          <w:rFonts w:ascii="Arial" w:eastAsiaTheme="minorHAnsi" w:hAnsi="Arial" w:cs="Arial"/>
          <w:b/>
          <w:bCs/>
          <w:lang w:val="es-MX" w:eastAsia="en-US"/>
        </w:rPr>
        <w:t>82. ¿Contiene criterios para aprobar subsidios?</w:t>
      </w:r>
    </w:p>
    <w:p w:rsidR="008A2887" w:rsidRDefault="008A2887" w:rsidP="008A2887">
      <w:pPr>
        <w:tabs>
          <w:tab w:val="left" w:pos="-720"/>
        </w:tabs>
        <w:suppressAutoHyphens/>
        <w:spacing w:after="200" w:line="276" w:lineRule="auto"/>
        <w:contextualSpacing/>
        <w:jc w:val="both"/>
        <w:rPr>
          <w:rFonts w:ascii="Arial" w:eastAsiaTheme="minorHAnsi" w:hAnsi="Arial" w:cs="Arial"/>
          <w:b/>
          <w:bCs/>
          <w:lang w:val="es-MX" w:eastAsia="en-US"/>
        </w:rPr>
      </w:pPr>
    </w:p>
    <w:p w:rsidR="008A2887" w:rsidRDefault="008A2887" w:rsidP="008A2887">
      <w:pPr>
        <w:jc w:val="both"/>
        <w:textAlignment w:val="top"/>
        <w:rPr>
          <w:rFonts w:ascii="Arial" w:hAnsi="Arial" w:cs="Arial"/>
          <w:color w:val="000000"/>
        </w:rPr>
      </w:pPr>
      <w:r w:rsidRPr="001D55A2">
        <w:rPr>
          <w:rFonts w:ascii="Arial" w:hAnsi="Arial" w:cs="Arial"/>
        </w:rPr>
        <w:t xml:space="preserve">Los subsidios son las asignaciones previstas en el presupuesto de egresos destinadas a apoyar la operación y actividades de organismos públicos descentralizados del gobierno municipal cuando se encuentren previamente considerados dentro del presupuesto de egresos aprobado por el Ayuntamiento. Los criterios se encuentran en el artículo 57 de </w:t>
      </w:r>
      <w:r w:rsidRPr="001D55A2">
        <w:rPr>
          <w:rFonts w:ascii="Arial" w:hAnsi="Arial" w:cs="Arial"/>
          <w:color w:val="000000"/>
        </w:rPr>
        <w:t>Ley del Presupuesto, Contabilidad y Gasto Publico, y en artículo 60 de la Ley del Gobierno y la Administración Pública Municipal del Estado de Jalisco.</w:t>
      </w:r>
    </w:p>
    <w:p w:rsidR="008A2887" w:rsidRDefault="008A2887" w:rsidP="008A2887">
      <w:pPr>
        <w:jc w:val="both"/>
        <w:textAlignment w:val="top"/>
        <w:rPr>
          <w:rFonts w:ascii="Arial" w:hAnsi="Arial" w:cs="Arial"/>
          <w:color w:val="000000"/>
        </w:rPr>
      </w:pPr>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rPr>
      </w:pPr>
      <w:r>
        <w:rPr>
          <w:rFonts w:ascii="Arial" w:eastAsiaTheme="minorHAnsi" w:hAnsi="Arial" w:cs="Arial"/>
          <w:lang w:val="es-MX" w:eastAsia="en-US"/>
        </w:rPr>
        <w:t xml:space="preserve">Se puede consultar en la siguiente </w:t>
      </w:r>
      <w:r w:rsidRPr="00C71B91">
        <w:rPr>
          <w:rFonts w:ascii="Arial" w:eastAsiaTheme="minorHAnsi" w:hAnsi="Arial" w:cs="Arial"/>
          <w:b/>
          <w:lang w:val="es-MX" w:eastAsia="en-US"/>
        </w:rPr>
        <w:t>R</w:t>
      </w:r>
      <w:r>
        <w:rPr>
          <w:rFonts w:ascii="Arial" w:eastAsiaTheme="minorHAnsi" w:hAnsi="Arial" w:cs="Arial"/>
          <w:b/>
          <w:bCs/>
          <w:lang w:val="es-MX" w:eastAsia="en-US"/>
        </w:rPr>
        <w:t xml:space="preserve">uta de acceso: </w:t>
      </w:r>
      <w:hyperlink r:id="rId6" w:history="1">
        <w:r w:rsidRPr="00066189">
          <w:rPr>
            <w:rStyle w:val="Hipervnculo"/>
            <w:rFonts w:ascii="Arial" w:eastAsiaTheme="minorHAnsi" w:hAnsi="Arial" w:cs="Arial"/>
            <w:bCs/>
            <w:lang w:val="es-MX" w:eastAsia="en-US"/>
          </w:rPr>
          <w:t>http://tonala.gob.mx/portal/</w:t>
        </w:r>
      </w:hyperlink>
      <w:r>
        <w:rPr>
          <w:rFonts w:ascii="Arial" w:eastAsiaTheme="minorHAnsi" w:hAnsi="Arial" w:cs="Arial"/>
          <w:bCs/>
          <w:lang w:val="es-MX" w:eastAsia="en-US"/>
        </w:rPr>
        <w:t xml:space="preserve">  Apartado de Transparencia- Leyes y Reglamentos- Leyes Estatales</w:t>
      </w:r>
      <w:r w:rsidRPr="00C53F77">
        <w:rPr>
          <w:rFonts w:ascii="Arial" w:eastAsiaTheme="minorHAnsi" w:hAnsi="Arial" w:cs="Arial"/>
          <w:bCs/>
          <w:color w:val="000000" w:themeColor="text1"/>
          <w:lang w:val="es-MX" w:eastAsia="en-US"/>
        </w:rPr>
        <w:t xml:space="preserve">- </w:t>
      </w:r>
      <w:hyperlink r:id="rId7" w:history="1">
        <w:r w:rsidRPr="005156D5">
          <w:rPr>
            <w:rFonts w:ascii="Arial" w:hAnsi="Arial" w:cs="Arial"/>
            <w:color w:val="000000" w:themeColor="text1"/>
            <w:bdr w:val="none" w:sz="0" w:space="0" w:color="auto" w:frame="1"/>
            <w:shd w:val="clear" w:color="auto" w:fill="FFFFFF"/>
          </w:rPr>
          <w:t>Ley del Presupuesto, Contabilidad y Gasto Público del Estado de Jalisco (20 de Enero 1998)</w:t>
        </w:r>
      </w:hyperlink>
    </w:p>
    <w:p w:rsidR="008A2887" w:rsidRDefault="008A2887" w:rsidP="008A2887">
      <w:pPr>
        <w:autoSpaceDE w:val="0"/>
        <w:autoSpaceDN w:val="0"/>
        <w:adjustRightInd w:val="0"/>
        <w:jc w:val="both"/>
        <w:rPr>
          <w:rFonts w:ascii="Arial" w:hAnsi="Arial" w:cs="Arial"/>
          <w:color w:val="000000" w:themeColor="text1"/>
          <w:bdr w:val="none" w:sz="0" w:space="0" w:color="auto" w:frame="1"/>
          <w:shd w:val="clear" w:color="auto" w:fill="FFFFFF"/>
        </w:rPr>
      </w:pPr>
    </w:p>
    <w:p w:rsidR="008A2887" w:rsidRDefault="008A2887" w:rsidP="008A2887">
      <w:pPr>
        <w:autoSpaceDE w:val="0"/>
        <w:autoSpaceDN w:val="0"/>
        <w:adjustRightInd w:val="0"/>
        <w:jc w:val="both"/>
        <w:rPr>
          <w:rFonts w:ascii="Arial" w:eastAsiaTheme="minorHAnsi" w:hAnsi="Arial" w:cs="Arial"/>
          <w:b/>
          <w:color w:val="000000" w:themeColor="text1"/>
          <w:lang w:val="es-MX" w:eastAsia="en-US"/>
        </w:rPr>
      </w:pPr>
      <w:r w:rsidRPr="00C56503">
        <w:rPr>
          <w:rFonts w:ascii="Arial" w:eastAsiaTheme="minorHAnsi" w:hAnsi="Arial" w:cs="Arial"/>
          <w:color w:val="000000" w:themeColor="text1"/>
          <w:lang w:val="es-MX" w:eastAsia="en-US"/>
        </w:rPr>
        <w:t>Puede consultar directamente la</w:t>
      </w:r>
      <w:hyperlink r:id="rId8" w:history="1">
        <w:r w:rsidRPr="00974410">
          <w:rPr>
            <w:rFonts w:ascii="Arial" w:hAnsi="Arial" w:cs="Arial"/>
            <w:color w:val="000000" w:themeColor="text1"/>
            <w:bdr w:val="none" w:sz="0" w:space="0" w:color="auto" w:frame="1"/>
            <w:shd w:val="clear" w:color="auto" w:fill="FFFFFF"/>
          </w:rPr>
          <w:t xml:space="preserve">Ley del Presupuesto, Contabilidad y Gasto Publico del Estado de Jalisco </w:t>
        </w:r>
      </w:hyperlink>
      <w:hyperlink r:id="rId9" w:history="1"/>
      <w:r w:rsidRPr="00974410">
        <w:rPr>
          <w:rFonts w:ascii="Arial" w:eastAsiaTheme="minorHAnsi" w:hAnsi="Arial" w:cs="Arial"/>
          <w:color w:val="000000" w:themeColor="text1"/>
          <w:lang w:val="es-MX" w:eastAsia="en-US"/>
        </w:rPr>
        <w:t>en el sigu</w:t>
      </w:r>
      <w:r w:rsidRPr="00C56503">
        <w:rPr>
          <w:rFonts w:ascii="Arial" w:eastAsiaTheme="minorHAnsi" w:hAnsi="Arial" w:cs="Arial"/>
          <w:color w:val="000000" w:themeColor="text1"/>
          <w:lang w:val="es-MX" w:eastAsia="en-US"/>
        </w:rPr>
        <w:t>iente</w:t>
      </w:r>
      <w:r>
        <w:rPr>
          <w:rFonts w:ascii="Arial" w:eastAsiaTheme="minorHAnsi" w:hAnsi="Arial" w:cs="Arial"/>
          <w:b/>
          <w:color w:val="000000" w:themeColor="text1"/>
          <w:lang w:val="es-MX" w:eastAsia="en-US"/>
        </w:rPr>
        <w:t xml:space="preserve"> link:</w:t>
      </w:r>
    </w:p>
    <w:p w:rsidR="008A2887" w:rsidRPr="004576FE"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lang w:val="es-MX"/>
        </w:rPr>
      </w:pPr>
      <w:hyperlink r:id="rId10" w:history="1">
        <w:r w:rsidRPr="00A6161F">
          <w:rPr>
            <w:rStyle w:val="Hipervnculo"/>
            <w:rFonts w:ascii="Arial" w:eastAsiaTheme="minorHAnsi" w:hAnsi="Arial" w:cs="Arial"/>
            <w:b/>
            <w:lang w:val="es-MX" w:eastAsia="en-US"/>
          </w:rPr>
          <w:t>http://tonala.gob.mx/portal/leyes-estatales/</w:t>
        </w:r>
      </w:hyperlink>
      <w:r w:rsidRPr="00C56503">
        <w:rPr>
          <w:rFonts w:ascii="Arial" w:eastAsiaTheme="minorHAnsi" w:hAnsi="Arial" w:cs="Arial"/>
          <w:color w:val="000000" w:themeColor="text1"/>
          <w:lang w:val="es-MX" w:eastAsia="en-US"/>
        </w:rPr>
        <w:t xml:space="preserve">y dar </w:t>
      </w:r>
      <w:proofErr w:type="spellStart"/>
      <w:r w:rsidRPr="00C56503">
        <w:rPr>
          <w:rFonts w:ascii="Arial" w:eastAsiaTheme="minorHAnsi" w:hAnsi="Arial" w:cs="Arial"/>
          <w:color w:val="000000" w:themeColor="text1"/>
          <w:lang w:val="es-MX" w:eastAsia="en-US"/>
        </w:rPr>
        <w:t>click</w:t>
      </w:r>
      <w:proofErr w:type="spellEnd"/>
      <w:r w:rsidRPr="00C56503">
        <w:rPr>
          <w:rFonts w:ascii="Arial" w:eastAsiaTheme="minorHAnsi" w:hAnsi="Arial" w:cs="Arial"/>
          <w:color w:val="000000" w:themeColor="text1"/>
          <w:lang w:val="es-MX" w:eastAsia="en-US"/>
        </w:rPr>
        <w:t xml:space="preserve"> en</w:t>
      </w:r>
      <w:hyperlink r:id="rId11" w:history="1">
        <w:r w:rsidRPr="00974410">
          <w:rPr>
            <w:rFonts w:ascii="Arial" w:hAnsi="Arial" w:cs="Arial"/>
            <w:color w:val="000000" w:themeColor="text1"/>
            <w:bdr w:val="none" w:sz="0" w:space="0" w:color="auto" w:frame="1"/>
            <w:shd w:val="clear" w:color="auto" w:fill="FFFFFF"/>
          </w:rPr>
          <w:t>Ley del Presupuesto, Contabilidad y Gasto Publico del Estado de Jalisco</w:t>
        </w:r>
        <w:r>
          <w:rPr>
            <w:rFonts w:ascii="Arial" w:hAnsi="Arial" w:cs="Arial"/>
            <w:color w:val="000000" w:themeColor="text1"/>
            <w:bdr w:val="none" w:sz="0" w:space="0" w:color="auto" w:frame="1"/>
            <w:shd w:val="clear" w:color="auto" w:fill="FFFFFF"/>
          </w:rPr>
          <w:t>.</w:t>
        </w:r>
      </w:hyperlink>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lang w:val="es-MX"/>
        </w:rPr>
      </w:pPr>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lang w:val="es-MX"/>
        </w:rPr>
      </w:pPr>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lang w:val="es-MX"/>
        </w:rPr>
      </w:pPr>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lang w:val="es-MX"/>
        </w:rPr>
      </w:pPr>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lang w:val="es-MX"/>
        </w:rPr>
      </w:pPr>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lang w:val="es-MX"/>
        </w:rPr>
      </w:pPr>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lang w:val="es-MX"/>
        </w:rPr>
      </w:pPr>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lang w:val="es-MX"/>
        </w:rPr>
      </w:pPr>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lang w:val="es-MX"/>
        </w:rPr>
      </w:pPr>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lang w:val="es-MX"/>
        </w:rPr>
      </w:pPr>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lang w:val="es-MX"/>
        </w:rPr>
      </w:pPr>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lang w:val="es-MX"/>
        </w:rPr>
      </w:pPr>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lang w:val="es-MX"/>
        </w:rPr>
      </w:pPr>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lang w:val="es-MX"/>
        </w:rPr>
      </w:pPr>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lang w:val="es-MX"/>
        </w:rPr>
      </w:pPr>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lang w:val="es-MX"/>
        </w:rPr>
      </w:pPr>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lang w:val="es-MX"/>
        </w:rPr>
      </w:pPr>
    </w:p>
    <w:p w:rsidR="008A2887" w:rsidRPr="00D95F0F"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lang w:val="es-MX"/>
        </w:rPr>
      </w:pPr>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rPr>
      </w:pPr>
      <w:r>
        <w:rPr>
          <w:rFonts w:ascii="Arial" w:hAnsi="Arial" w:cs="Arial"/>
          <w:noProof/>
          <w:color w:val="000000" w:themeColor="text1"/>
          <w:lang w:val="es-MX" w:eastAsia="es-MX"/>
        </w:rPr>
        <w:lastRenderedPageBreak/>
        <w:drawing>
          <wp:inline distT="0" distB="0" distL="0" distR="0">
            <wp:extent cx="6115050" cy="3590925"/>
            <wp:effectExtent l="0" t="0" r="0" b="9525"/>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050" cy="3590925"/>
                    </a:xfrm>
                    <a:prstGeom prst="rect">
                      <a:avLst/>
                    </a:prstGeom>
                    <a:noFill/>
                    <a:ln>
                      <a:noFill/>
                    </a:ln>
                  </pic:spPr>
                </pic:pic>
              </a:graphicData>
            </a:graphic>
          </wp:inline>
        </w:drawing>
      </w:r>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rPr>
      </w:pPr>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rPr>
      </w:pPr>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rPr>
      </w:pPr>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rPr>
      </w:pPr>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rPr>
      </w:pPr>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rPr>
      </w:pPr>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rPr>
      </w:pPr>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rPr>
      </w:pPr>
      <w:r>
        <w:rPr>
          <w:rFonts w:ascii="Arial" w:hAnsi="Arial" w:cs="Arial"/>
          <w:noProof/>
          <w:color w:val="000000" w:themeColor="text1"/>
          <w:lang w:val="es-MX" w:eastAsia="es-MX"/>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45" o:spid="_x0000_s1026" type="#_x0000_t13" style="position:absolute;left:0;text-align:left;margin-left:118.05pt;margin-top:250.4pt;width:51.75pt;height:14.25pt;z-index:251660288;visibility:visible;mso-position-horizontal:right;mso-position-horizontal-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" adj="18626" fillcolor="#00b050" strokecolor="windowText" strokeweight="2pt">
            <w10:wrap anchorx="margin"/>
          </v:shape>
        </w:pict>
      </w:r>
      <w:r>
        <w:rPr>
          <w:rFonts w:ascii="Arial" w:hAnsi="Arial" w:cs="Arial"/>
          <w:noProof/>
          <w:color w:val="000000" w:themeColor="text1"/>
          <w:lang w:val="es-MX" w:eastAsia="es-MX"/>
        </w:rPr>
        <w:drawing>
          <wp:inline distT="0" distB="0" distL="0" distR="0">
            <wp:extent cx="6105525" cy="4333875"/>
            <wp:effectExtent l="0" t="0" r="9525" b="9525"/>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5525" cy="4333875"/>
                    </a:xfrm>
                    <a:prstGeom prst="rect">
                      <a:avLst/>
                    </a:prstGeom>
                    <a:noFill/>
                    <a:ln>
                      <a:noFill/>
                    </a:ln>
                  </pic:spPr>
                </pic:pic>
              </a:graphicData>
            </a:graphic>
          </wp:inline>
        </w:drawing>
      </w:r>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rPr>
      </w:pPr>
      <w:r>
        <w:rPr>
          <w:rFonts w:ascii="Arial" w:hAnsi="Arial" w:cs="Arial"/>
          <w:noProof/>
          <w:color w:val="000000"/>
          <w:lang w:val="es-MX" w:eastAsia="es-MX"/>
        </w:rPr>
        <w:lastRenderedPageBreak/>
        <w:drawing>
          <wp:inline distT="0" distB="0" distL="0" distR="0">
            <wp:extent cx="6115050" cy="3800475"/>
            <wp:effectExtent l="0" t="0" r="0" b="9525"/>
            <wp:docPr id="246" name="Imagen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050" cy="3800475"/>
                    </a:xfrm>
                    <a:prstGeom prst="rect">
                      <a:avLst/>
                    </a:prstGeom>
                    <a:noFill/>
                    <a:ln>
                      <a:noFill/>
                    </a:ln>
                  </pic:spPr>
                </pic:pic>
              </a:graphicData>
            </a:graphic>
          </wp:inline>
        </w:drawing>
      </w:r>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rPr>
      </w:pPr>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rPr>
      </w:pPr>
      <w:r>
        <w:rPr>
          <w:rFonts w:ascii="Arial" w:eastAsiaTheme="minorHAnsi" w:hAnsi="Arial" w:cs="Arial"/>
          <w:lang w:val="es-MX" w:eastAsia="en-US"/>
        </w:rPr>
        <w:t xml:space="preserve">Y también a través de la siguiente </w:t>
      </w:r>
      <w:r w:rsidRPr="00C71B91">
        <w:rPr>
          <w:rFonts w:ascii="Arial" w:eastAsiaTheme="minorHAnsi" w:hAnsi="Arial" w:cs="Arial"/>
          <w:b/>
          <w:lang w:val="es-MX" w:eastAsia="en-US"/>
        </w:rPr>
        <w:t>R</w:t>
      </w:r>
      <w:r>
        <w:rPr>
          <w:rFonts w:ascii="Arial" w:eastAsiaTheme="minorHAnsi" w:hAnsi="Arial" w:cs="Arial"/>
          <w:b/>
          <w:bCs/>
          <w:lang w:val="es-MX" w:eastAsia="en-US"/>
        </w:rPr>
        <w:t xml:space="preserve">uta de acceso: </w:t>
      </w:r>
      <w:hyperlink r:id="rId15" w:history="1">
        <w:r w:rsidRPr="00066189">
          <w:rPr>
            <w:rStyle w:val="Hipervnculo"/>
            <w:rFonts w:ascii="Arial" w:eastAsiaTheme="minorHAnsi" w:hAnsi="Arial" w:cs="Arial"/>
            <w:bCs/>
            <w:lang w:val="es-MX" w:eastAsia="en-US"/>
          </w:rPr>
          <w:t>http://tonala.gob.mx/portal/</w:t>
        </w:r>
      </w:hyperlink>
      <w:r>
        <w:rPr>
          <w:rFonts w:ascii="Arial" w:eastAsiaTheme="minorHAnsi" w:hAnsi="Arial" w:cs="Arial"/>
          <w:bCs/>
          <w:lang w:val="es-MX" w:eastAsia="en-US"/>
        </w:rPr>
        <w:t xml:space="preserve">  Apartado de Transparencia- Leyes y Reglamentos- Leyes Estatales</w:t>
      </w:r>
      <w:r w:rsidRPr="00C53F77">
        <w:rPr>
          <w:rFonts w:ascii="Arial" w:eastAsiaTheme="minorHAnsi" w:hAnsi="Arial" w:cs="Arial"/>
          <w:bCs/>
          <w:color w:val="000000" w:themeColor="text1"/>
          <w:lang w:val="es-MX" w:eastAsia="en-US"/>
        </w:rPr>
        <w:t xml:space="preserve">- </w:t>
      </w:r>
      <w:hyperlink r:id="rId16" w:history="1">
        <w:r w:rsidRPr="00723FD5">
          <w:rPr>
            <w:rFonts w:ascii="Arial" w:hAnsi="Arial" w:cs="Arial"/>
            <w:color w:val="000000" w:themeColor="text1"/>
            <w:bdr w:val="none" w:sz="0" w:space="0" w:color="auto" w:frame="1"/>
            <w:shd w:val="clear" w:color="auto" w:fill="FFFFFF"/>
          </w:rPr>
          <w:t>Ley del Gobierno y la Administración Pública Municipal del Estado de Jalisco (5 de Octubre 2000 sección III)</w:t>
        </w:r>
      </w:hyperlink>
    </w:p>
    <w:p w:rsidR="008A2887"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rPr>
      </w:pPr>
    </w:p>
    <w:p w:rsidR="008A2887" w:rsidRDefault="008A2887" w:rsidP="008A2887">
      <w:pPr>
        <w:autoSpaceDE w:val="0"/>
        <w:autoSpaceDN w:val="0"/>
        <w:adjustRightInd w:val="0"/>
        <w:jc w:val="both"/>
        <w:rPr>
          <w:rFonts w:ascii="Arial" w:eastAsiaTheme="minorHAnsi" w:hAnsi="Arial" w:cs="Arial"/>
          <w:b/>
          <w:color w:val="000000" w:themeColor="text1"/>
          <w:lang w:val="es-MX" w:eastAsia="en-US"/>
        </w:rPr>
      </w:pPr>
      <w:r w:rsidRPr="00C56503">
        <w:rPr>
          <w:rFonts w:ascii="Arial" w:eastAsiaTheme="minorHAnsi" w:hAnsi="Arial" w:cs="Arial"/>
          <w:color w:val="000000" w:themeColor="text1"/>
          <w:lang w:val="es-MX" w:eastAsia="en-US"/>
        </w:rPr>
        <w:t>Puede consultar directamente la</w:t>
      </w:r>
      <w:hyperlink r:id="rId17" w:history="1"/>
      <w:hyperlink r:id="rId18" w:history="1">
        <w:r w:rsidRPr="0005759B">
          <w:rPr>
            <w:rFonts w:ascii="Arial" w:hAnsi="Arial" w:cs="Arial"/>
            <w:color w:val="000000" w:themeColor="text1"/>
            <w:sz w:val="23"/>
            <w:szCs w:val="23"/>
            <w:bdr w:val="none" w:sz="0" w:space="0" w:color="auto" w:frame="1"/>
            <w:shd w:val="clear" w:color="auto" w:fill="FFFFFF"/>
          </w:rPr>
          <w:t xml:space="preserve">Ley del Gobierno y la Administración Pública Municipal del Estado de Jalisco </w:t>
        </w:r>
      </w:hyperlink>
      <w:r w:rsidRPr="00974410">
        <w:rPr>
          <w:rFonts w:ascii="Arial" w:eastAsiaTheme="minorHAnsi" w:hAnsi="Arial" w:cs="Arial"/>
          <w:color w:val="000000" w:themeColor="text1"/>
          <w:lang w:val="es-MX" w:eastAsia="en-US"/>
        </w:rPr>
        <w:t>en el sigu</w:t>
      </w:r>
      <w:r w:rsidRPr="00C56503">
        <w:rPr>
          <w:rFonts w:ascii="Arial" w:eastAsiaTheme="minorHAnsi" w:hAnsi="Arial" w:cs="Arial"/>
          <w:color w:val="000000" w:themeColor="text1"/>
          <w:lang w:val="es-MX" w:eastAsia="en-US"/>
        </w:rPr>
        <w:t>iente</w:t>
      </w:r>
      <w:r>
        <w:rPr>
          <w:rFonts w:ascii="Arial" w:eastAsiaTheme="minorHAnsi" w:hAnsi="Arial" w:cs="Arial"/>
          <w:b/>
          <w:color w:val="000000" w:themeColor="text1"/>
          <w:lang w:val="es-MX" w:eastAsia="en-US"/>
        </w:rPr>
        <w:t xml:space="preserve"> link:</w:t>
      </w:r>
    </w:p>
    <w:p w:rsidR="008A2887" w:rsidRDefault="008A2887" w:rsidP="008A2887">
      <w:pPr>
        <w:tabs>
          <w:tab w:val="left" w:pos="-720"/>
        </w:tabs>
        <w:suppressAutoHyphens/>
        <w:spacing w:after="200" w:line="276" w:lineRule="auto"/>
        <w:contextualSpacing/>
        <w:jc w:val="both"/>
        <w:rPr>
          <w:rFonts w:ascii="Arial" w:hAnsi="Arial" w:cs="Arial"/>
          <w:color w:val="000000" w:themeColor="text1"/>
          <w:lang w:val="es-MX"/>
        </w:rPr>
      </w:pPr>
      <w:hyperlink r:id="rId19" w:history="1">
        <w:r w:rsidRPr="00A6161F">
          <w:rPr>
            <w:rStyle w:val="Hipervnculo"/>
            <w:rFonts w:ascii="Arial" w:hAnsi="Arial" w:cs="Arial"/>
            <w:lang w:val="es-MX"/>
          </w:rPr>
          <w:t>http://www.tonala.gob.mx/portal/assets/leydelgobiernoylaadministracionpublicamunicipaldelestadodejalisco.pdf</w:t>
        </w:r>
      </w:hyperlink>
    </w:p>
    <w:p w:rsidR="008A2887" w:rsidRPr="0005759B" w:rsidRDefault="008A2887" w:rsidP="008A2887">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lang w:val="es-MX"/>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r>
        <w:rPr>
          <w:rFonts w:ascii="Arial" w:hAnsi="Arial" w:cs="Arial"/>
          <w:noProof/>
          <w:color w:val="000000" w:themeColor="text1"/>
          <w:lang w:val="es-MX" w:eastAsia="es-MX"/>
        </w:rPr>
        <w:lastRenderedPageBreak/>
        <w:drawing>
          <wp:inline distT="0" distB="0" distL="0" distR="0">
            <wp:extent cx="6115050" cy="3590925"/>
            <wp:effectExtent l="0" t="0" r="0" b="9525"/>
            <wp:docPr id="171" name="Imagen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050" cy="3590925"/>
                    </a:xfrm>
                    <a:prstGeom prst="rect">
                      <a:avLst/>
                    </a:prstGeom>
                    <a:noFill/>
                    <a:ln>
                      <a:noFill/>
                    </a:ln>
                  </pic:spPr>
                </pic:pic>
              </a:graphicData>
            </a:graphic>
          </wp:inline>
        </w:drawing>
      </w: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r w:rsidRPr="001A5A41">
        <w:rPr>
          <w:rFonts w:ascii="Arial" w:hAnsi="Arial" w:cs="Arial"/>
          <w:noProof/>
          <w:color w:val="000000" w:themeColor="text1"/>
          <w:lang w:val="es-MX" w:eastAsia="es-MX"/>
        </w:rPr>
        <w:pict>
          <v:shape id="Flecha derecha 249" o:spid="_x0000_s1027" type="#_x0000_t13" style="position:absolute;left:0;text-align:left;margin-left:-48pt;margin-top:132.7pt;width:51.75pt;height:14.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" adj="18626" fillcolor="#00b050" strokecolor="windowText" strokeweight="2pt"/>
        </w:pict>
      </w:r>
      <w:r>
        <w:rPr>
          <w:rFonts w:ascii="Arial" w:hAnsi="Arial" w:cs="Arial"/>
          <w:noProof/>
          <w:color w:val="000000" w:themeColor="text1"/>
          <w:lang w:val="es-MX" w:eastAsia="es-MX"/>
        </w:rPr>
        <w:drawing>
          <wp:inline distT="0" distB="0" distL="0" distR="0">
            <wp:extent cx="6115050" cy="4352925"/>
            <wp:effectExtent l="0" t="0" r="0" b="9525"/>
            <wp:docPr id="172"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050" cy="4352925"/>
                    </a:xfrm>
                    <a:prstGeom prst="rect">
                      <a:avLst/>
                    </a:prstGeom>
                    <a:noFill/>
                    <a:ln>
                      <a:noFill/>
                    </a:ln>
                  </pic:spPr>
                </pic:pic>
              </a:graphicData>
            </a:graphic>
          </wp:inline>
        </w:drawing>
      </w: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Pr="002D4033" w:rsidRDefault="008A2887" w:rsidP="008A2887">
      <w:pPr>
        <w:suppressAutoHyphens/>
        <w:jc w:val="both"/>
        <w:rPr>
          <w:spacing w:val="-3"/>
          <w:sz w:val="20"/>
          <w:szCs w:val="20"/>
        </w:rPr>
      </w:pPr>
      <w:r w:rsidRPr="002D4033">
        <w:rPr>
          <w:spacing w:val="-3"/>
          <w:sz w:val="20"/>
          <w:szCs w:val="20"/>
        </w:rPr>
        <w:lastRenderedPageBreak/>
        <w:t>Al margen un sello que dice: Gobierno de Jalisco. Poder Ejecutivo. Secretaría General de Gobierno. Estados Unidos Mexicanos.</w:t>
      </w:r>
    </w:p>
    <w:p w:rsidR="008A2887" w:rsidRPr="002D4033" w:rsidRDefault="008A2887" w:rsidP="008A2887">
      <w:pPr>
        <w:jc w:val="both"/>
        <w:rPr>
          <w:b/>
          <w:bCs/>
          <w:sz w:val="20"/>
          <w:szCs w:val="20"/>
        </w:rPr>
      </w:pPr>
    </w:p>
    <w:p w:rsidR="008A2887" w:rsidRPr="002D4033" w:rsidRDefault="008A2887" w:rsidP="008A2887">
      <w:pPr>
        <w:jc w:val="both"/>
        <w:rPr>
          <w:sz w:val="20"/>
          <w:szCs w:val="20"/>
        </w:rPr>
      </w:pPr>
      <w:r w:rsidRPr="002D4033">
        <w:rPr>
          <w:b/>
          <w:bCs/>
          <w:sz w:val="20"/>
          <w:szCs w:val="20"/>
        </w:rPr>
        <w:t>Alberto Cárdenas Jiménez</w:t>
      </w:r>
      <w:r w:rsidRPr="002D4033">
        <w:rPr>
          <w:sz w:val="20"/>
          <w:szCs w:val="20"/>
        </w:rPr>
        <w:t xml:space="preserve">, Gobernador Constitucional del Estado Libre y Soberano de Jalisco, a los habitantes del mismo hago saber, que por conducto de </w:t>
      </w:r>
      <w:smartTag w:uri="urn:schemas-microsoft-com:office:smarttags" w:element="PersonName">
        <w:smartTagPr>
          <w:attr w:name="ProductID" w:val="la Secretar￭a"/>
        </w:smartTagPr>
        <w:r w:rsidRPr="002D4033">
          <w:rPr>
            <w:sz w:val="20"/>
            <w:szCs w:val="20"/>
          </w:rPr>
          <w:t>la Secretaría</w:t>
        </w:r>
      </w:smartTag>
      <w:r w:rsidRPr="002D4033">
        <w:rPr>
          <w:sz w:val="20"/>
          <w:szCs w:val="20"/>
        </w:rPr>
        <w:t xml:space="preserve"> del H. Congreso de esta Entidad Federativa, se me ha comunicado el siguiente decreto</w:t>
      </w:r>
    </w:p>
    <w:p w:rsidR="008A2887" w:rsidRPr="002D4033" w:rsidRDefault="008A2887" w:rsidP="008A2887">
      <w:pPr>
        <w:jc w:val="both"/>
        <w:rPr>
          <w:sz w:val="20"/>
          <w:szCs w:val="20"/>
        </w:rPr>
      </w:pPr>
    </w:p>
    <w:p w:rsidR="008A2887" w:rsidRPr="002D4033" w:rsidRDefault="008A2887" w:rsidP="008A2887">
      <w:pPr>
        <w:pStyle w:val="Textoindependiente3"/>
        <w:rPr>
          <w:sz w:val="20"/>
          <w:szCs w:val="20"/>
          <w:lang w:val="es-ES"/>
        </w:rPr>
      </w:pPr>
      <w:r w:rsidRPr="002D4033">
        <w:rPr>
          <w:sz w:val="20"/>
          <w:szCs w:val="20"/>
          <w:lang w:val="es-ES"/>
        </w:rPr>
        <w:t>NUMERO 18503.- EL CONGRESO DEL ESTADO DECRETA:</w:t>
      </w:r>
    </w:p>
    <w:p w:rsidR="008A2887" w:rsidRPr="002D4033" w:rsidRDefault="008A2887" w:rsidP="008A2887">
      <w:pPr>
        <w:jc w:val="both"/>
        <w:rPr>
          <w:b/>
          <w:bCs/>
          <w:sz w:val="20"/>
          <w:szCs w:val="20"/>
        </w:rPr>
      </w:pPr>
    </w:p>
    <w:p w:rsidR="008A2887" w:rsidRPr="002D4033" w:rsidRDefault="008A2887" w:rsidP="008A2887">
      <w:pPr>
        <w:jc w:val="center"/>
        <w:rPr>
          <w:b/>
          <w:bCs/>
          <w:sz w:val="20"/>
          <w:szCs w:val="20"/>
        </w:rPr>
      </w:pPr>
      <w:r w:rsidRPr="002D4033">
        <w:rPr>
          <w:b/>
          <w:bCs/>
          <w:sz w:val="20"/>
          <w:szCs w:val="20"/>
        </w:rPr>
        <w:t xml:space="preserve">LEY DEL GOBIERNO Y </w:t>
      </w:r>
      <w:smartTag w:uri="urn:schemas-microsoft-com:office:smarttags" w:element="PersonName">
        <w:smartTagPr>
          <w:attr w:name="ProductID" w:val="LA ADMINISTRACIￓN PￚBLICA"/>
        </w:smartTagPr>
        <w:r w:rsidRPr="002D4033">
          <w:rPr>
            <w:b/>
            <w:bCs/>
            <w:sz w:val="20"/>
            <w:szCs w:val="20"/>
          </w:rPr>
          <w:t>LA ADMINISTRACIÓN PÚBLICA</w:t>
        </w:r>
      </w:smartTag>
      <w:r w:rsidRPr="002D4033">
        <w:rPr>
          <w:b/>
          <w:bCs/>
          <w:sz w:val="20"/>
          <w:szCs w:val="20"/>
        </w:rPr>
        <w:t xml:space="preserve"> MUNICIPAL </w:t>
      </w:r>
    </w:p>
    <w:p w:rsidR="008A2887" w:rsidRPr="002D4033" w:rsidRDefault="008A2887" w:rsidP="008A2887">
      <w:pPr>
        <w:jc w:val="center"/>
        <w:rPr>
          <w:b/>
          <w:bCs/>
          <w:sz w:val="20"/>
          <w:szCs w:val="20"/>
        </w:rPr>
      </w:pPr>
      <w:r w:rsidRPr="002D4033">
        <w:rPr>
          <w:b/>
          <w:bCs/>
          <w:sz w:val="20"/>
          <w:szCs w:val="20"/>
        </w:rPr>
        <w:t>DEL ESTADO DE JALISCO</w:t>
      </w:r>
    </w:p>
    <w:p w:rsidR="008A2887" w:rsidRPr="002D4033" w:rsidRDefault="008A2887" w:rsidP="008A2887">
      <w:pPr>
        <w:jc w:val="center"/>
        <w:rPr>
          <w:b/>
          <w:bCs/>
          <w:snapToGrid w:val="0"/>
          <w:sz w:val="20"/>
          <w:szCs w:val="20"/>
        </w:rPr>
      </w:pPr>
    </w:p>
    <w:p w:rsidR="008A2887" w:rsidRPr="009E0AF0" w:rsidRDefault="008A2887" w:rsidP="008A2887">
      <w:pPr>
        <w:jc w:val="center"/>
        <w:textAlignment w:val="top"/>
        <w:rPr>
          <w:rFonts w:ascii="Arial" w:hAnsi="Arial" w:cs="Arial"/>
          <w:b/>
          <w:color w:val="000000"/>
        </w:rPr>
      </w:pPr>
    </w:p>
    <w:p w:rsidR="008A2887" w:rsidRPr="009E0AF0" w:rsidRDefault="008A2887" w:rsidP="008A2887">
      <w:pPr>
        <w:pStyle w:val="Ttulo3"/>
        <w:jc w:val="center"/>
        <w:rPr>
          <w:rFonts w:cs="Arial"/>
          <w:sz w:val="20"/>
          <w:szCs w:val="20"/>
        </w:rPr>
      </w:pPr>
      <w:r w:rsidRPr="009E0AF0">
        <w:rPr>
          <w:rFonts w:cs="Arial"/>
          <w:sz w:val="20"/>
          <w:szCs w:val="20"/>
        </w:rPr>
        <w:t>CAPÍTULO V</w:t>
      </w:r>
    </w:p>
    <w:p w:rsidR="008A2887" w:rsidRPr="009E0AF0" w:rsidRDefault="008A2887" w:rsidP="008A2887">
      <w:pPr>
        <w:pStyle w:val="Ttulo4"/>
        <w:jc w:val="center"/>
        <w:rPr>
          <w:rFonts w:cs="Arial"/>
          <w:b/>
          <w:sz w:val="20"/>
          <w:szCs w:val="20"/>
        </w:rPr>
      </w:pPr>
      <w:r w:rsidRPr="009E0AF0">
        <w:rPr>
          <w:rFonts w:cs="Arial"/>
          <w:b/>
          <w:sz w:val="20"/>
          <w:szCs w:val="20"/>
        </w:rPr>
        <w:t>De los Servidores Públicos Auxiliares del Ayuntamiento</w:t>
      </w:r>
    </w:p>
    <w:p w:rsidR="008A2887" w:rsidRPr="002D4033" w:rsidRDefault="008A2887" w:rsidP="008A2887">
      <w:pPr>
        <w:jc w:val="both"/>
        <w:rPr>
          <w:sz w:val="20"/>
          <w:szCs w:val="20"/>
        </w:rPr>
      </w:pPr>
    </w:p>
    <w:p w:rsidR="008A2887" w:rsidRPr="00B24874" w:rsidRDefault="008A2887" w:rsidP="008A2887">
      <w:pPr>
        <w:jc w:val="both"/>
        <w:rPr>
          <w:sz w:val="20"/>
          <w:szCs w:val="20"/>
        </w:rPr>
      </w:pPr>
      <w:r w:rsidRPr="00B24874">
        <w:rPr>
          <w:b/>
          <w:bCs/>
          <w:sz w:val="20"/>
          <w:szCs w:val="20"/>
        </w:rPr>
        <w:t>Artículo 60</w:t>
      </w:r>
      <w:r w:rsidRPr="00B24874">
        <w:rPr>
          <w:sz w:val="20"/>
          <w:szCs w:val="20"/>
        </w:rPr>
        <w:t>. Para el despacho de los asuntos administrativos y para auxiliar en sus funciones al Ayuntamiento, en cada Municipio se pueden crear de conformidad a la ley y mediante ordenamiento municipal, las dependencias y entidades que se consideren necesarias, mismas que integran la administración centralizada y paramunicipal, respectivamente, atendiendo a las posibilidades económicas y a las necesidades de cada municipio.</w:t>
      </w:r>
    </w:p>
    <w:p w:rsidR="008A2887" w:rsidRPr="00B24874" w:rsidRDefault="008A2887" w:rsidP="008A2887">
      <w:pPr>
        <w:jc w:val="both"/>
        <w:rPr>
          <w:sz w:val="20"/>
          <w:szCs w:val="20"/>
        </w:rPr>
      </w:pPr>
    </w:p>
    <w:p w:rsidR="008A2887" w:rsidRPr="00B24874" w:rsidRDefault="008A2887" w:rsidP="008A2887">
      <w:pPr>
        <w:jc w:val="both"/>
        <w:rPr>
          <w:sz w:val="20"/>
          <w:szCs w:val="20"/>
        </w:rPr>
      </w:pPr>
      <w:r w:rsidRPr="00B24874">
        <w:rPr>
          <w:sz w:val="20"/>
          <w:szCs w:val="20"/>
        </w:rPr>
        <w:t>Los ordenamientos municipales deben regular las atribuciones de las dependencias y entidades que integran la administración pública municipal.</w:t>
      </w:r>
    </w:p>
    <w:p w:rsidR="008A2887" w:rsidRPr="002D4033" w:rsidRDefault="008A2887" w:rsidP="008A2887">
      <w:pPr>
        <w:ind w:firstLine="567"/>
        <w:jc w:val="both"/>
        <w:rPr>
          <w:sz w:val="20"/>
          <w:szCs w:val="20"/>
        </w:rPr>
      </w:pPr>
    </w:p>
    <w:p w:rsidR="008A2887" w:rsidRPr="002D4033" w:rsidRDefault="008A2887" w:rsidP="008A2887">
      <w:pPr>
        <w:jc w:val="both"/>
        <w:rPr>
          <w:sz w:val="20"/>
          <w:szCs w:val="20"/>
        </w:rPr>
      </w:pPr>
      <w:r w:rsidRPr="002D4033">
        <w:rPr>
          <w:b/>
          <w:bCs/>
          <w:sz w:val="20"/>
          <w:szCs w:val="20"/>
        </w:rPr>
        <w:t>Artículo 61</w:t>
      </w:r>
      <w:r w:rsidRPr="002D4033">
        <w:rPr>
          <w:sz w:val="20"/>
          <w:szCs w:val="20"/>
        </w:rPr>
        <w:t xml:space="preserve">. Cada Municipio debe contar con un servidor público encargado de </w:t>
      </w:r>
      <w:smartTag w:uri="urn:schemas-microsoft-com:office:smarttags" w:element="PersonName">
        <w:smartTagPr>
          <w:attr w:name="ProductID" w:val="la Secretar￭a"/>
        </w:smartTagPr>
        <w:r w:rsidRPr="002D4033">
          <w:rPr>
            <w:sz w:val="20"/>
            <w:szCs w:val="20"/>
          </w:rPr>
          <w:t>la Secretaría</w:t>
        </w:r>
      </w:smartTag>
      <w:r w:rsidRPr="002D4033">
        <w:rPr>
          <w:sz w:val="20"/>
          <w:szCs w:val="20"/>
        </w:rPr>
        <w:t xml:space="preserve"> del Ayuntamiento. </w:t>
      </w:r>
    </w:p>
    <w:p w:rsidR="008A2887" w:rsidRPr="002D4033" w:rsidRDefault="008A2887" w:rsidP="008A2887">
      <w:pPr>
        <w:jc w:val="both"/>
        <w:rPr>
          <w:sz w:val="20"/>
          <w:szCs w:val="20"/>
        </w:rPr>
      </w:pPr>
    </w:p>
    <w:p w:rsidR="008A2887" w:rsidRPr="000A26B4" w:rsidRDefault="008A2887" w:rsidP="008A2887">
      <w:pPr>
        <w:jc w:val="both"/>
        <w:rPr>
          <w:sz w:val="20"/>
          <w:szCs w:val="20"/>
        </w:rPr>
      </w:pPr>
      <w:r w:rsidRPr="00B24874">
        <w:rPr>
          <w:b/>
          <w:bCs/>
          <w:sz w:val="20"/>
          <w:szCs w:val="20"/>
        </w:rPr>
        <w:t>Artículo 62</w:t>
      </w:r>
      <w:r w:rsidRPr="00B24874">
        <w:rPr>
          <w:sz w:val="20"/>
          <w:szCs w:val="20"/>
        </w:rPr>
        <w:t xml:space="preserve">. Para estar a cargo de </w:t>
      </w:r>
      <w:smartTag w:uri="urn:schemas-microsoft-com:office:smarttags" w:element="PersonName">
        <w:smartTagPr>
          <w:attr w:name="ProductID" w:val="la Secretar￭a"/>
        </w:smartTagPr>
        <w:r w:rsidRPr="00B24874">
          <w:rPr>
            <w:sz w:val="20"/>
            <w:szCs w:val="20"/>
          </w:rPr>
          <w:t>la S</w:t>
        </w:r>
        <w:r w:rsidRPr="000A26B4">
          <w:rPr>
            <w:sz w:val="20"/>
            <w:szCs w:val="20"/>
          </w:rPr>
          <w:t>ecretaría</w:t>
        </w:r>
      </w:smartTag>
      <w:r w:rsidRPr="000A26B4">
        <w:rPr>
          <w:sz w:val="20"/>
          <w:szCs w:val="20"/>
        </w:rPr>
        <w:t xml:space="preserve"> del Ayuntamiento se requiere:</w:t>
      </w:r>
    </w:p>
    <w:p w:rsidR="008A2887" w:rsidRPr="000A26B4" w:rsidRDefault="008A2887" w:rsidP="008A2887">
      <w:pPr>
        <w:jc w:val="both"/>
        <w:rPr>
          <w:sz w:val="20"/>
          <w:szCs w:val="20"/>
        </w:rPr>
      </w:pPr>
    </w:p>
    <w:p w:rsidR="008A2887" w:rsidRPr="000A26B4" w:rsidRDefault="008A2887" w:rsidP="008A2887">
      <w:pPr>
        <w:jc w:val="both"/>
        <w:rPr>
          <w:sz w:val="20"/>
          <w:szCs w:val="20"/>
        </w:rPr>
      </w:pPr>
      <w:r w:rsidRPr="000A26B4">
        <w:rPr>
          <w:sz w:val="20"/>
          <w:szCs w:val="20"/>
        </w:rPr>
        <w:t>I. Ser ciudadano mexicano en pleno ejercicio de sus derechos civiles y políticos;</w:t>
      </w:r>
    </w:p>
    <w:p w:rsidR="008A2887" w:rsidRPr="000A26B4" w:rsidRDefault="008A2887" w:rsidP="008A2887">
      <w:pPr>
        <w:jc w:val="both"/>
        <w:rPr>
          <w:sz w:val="20"/>
          <w:szCs w:val="20"/>
        </w:rPr>
      </w:pPr>
    </w:p>
    <w:p w:rsidR="008A2887" w:rsidRPr="000A26B4" w:rsidRDefault="008A2887" w:rsidP="008A2887">
      <w:pPr>
        <w:jc w:val="both"/>
        <w:rPr>
          <w:sz w:val="20"/>
          <w:szCs w:val="20"/>
        </w:rPr>
      </w:pPr>
      <w:r w:rsidRPr="000A26B4">
        <w:rPr>
          <w:sz w:val="20"/>
          <w:szCs w:val="20"/>
        </w:rPr>
        <w:t>II. Ser nativo del Municipio o área Metropolitana correspondiente o acreditar ser vecino de aquellos cuando menos un año inmediato al día de la elección;</w:t>
      </w:r>
    </w:p>
    <w:p w:rsidR="008A2887" w:rsidRPr="000A26B4" w:rsidRDefault="008A2887" w:rsidP="008A2887">
      <w:pPr>
        <w:jc w:val="both"/>
        <w:rPr>
          <w:sz w:val="20"/>
          <w:szCs w:val="20"/>
        </w:rPr>
      </w:pPr>
    </w:p>
    <w:p w:rsidR="008A2887" w:rsidRPr="000A26B4" w:rsidRDefault="008A2887" w:rsidP="008A2887">
      <w:pPr>
        <w:jc w:val="both"/>
        <w:rPr>
          <w:sz w:val="20"/>
          <w:szCs w:val="20"/>
        </w:rPr>
      </w:pPr>
      <w:r w:rsidRPr="000A26B4">
        <w:rPr>
          <w:sz w:val="20"/>
          <w:szCs w:val="20"/>
        </w:rPr>
        <w:t>III. No ser pariente consanguíneo en línea recta, colateral ni por afinidad hasta el cuarto grado de algún miembro del Ayuntamiento; y</w:t>
      </w:r>
    </w:p>
    <w:p w:rsidR="008A2887" w:rsidRPr="000A26B4" w:rsidRDefault="008A2887" w:rsidP="008A2887">
      <w:pPr>
        <w:jc w:val="both"/>
        <w:rPr>
          <w:sz w:val="20"/>
          <w:szCs w:val="20"/>
        </w:rPr>
      </w:pPr>
    </w:p>
    <w:p w:rsidR="008A2887" w:rsidRPr="000A26B4" w:rsidRDefault="008A2887" w:rsidP="008A2887">
      <w:pPr>
        <w:jc w:val="both"/>
        <w:rPr>
          <w:sz w:val="20"/>
          <w:szCs w:val="20"/>
        </w:rPr>
      </w:pPr>
      <w:r w:rsidRPr="000A26B4">
        <w:rPr>
          <w:sz w:val="20"/>
          <w:szCs w:val="20"/>
        </w:rPr>
        <w:t>IV. Tener la siguiente escolaridad:</w:t>
      </w:r>
    </w:p>
    <w:p w:rsidR="008A2887" w:rsidRPr="000A26B4" w:rsidRDefault="008A2887" w:rsidP="008A2887">
      <w:pPr>
        <w:jc w:val="both"/>
        <w:rPr>
          <w:sz w:val="20"/>
          <w:szCs w:val="20"/>
        </w:rPr>
      </w:pPr>
    </w:p>
    <w:p w:rsidR="008A2887" w:rsidRPr="000A26B4" w:rsidRDefault="008A2887" w:rsidP="008A2887">
      <w:pPr>
        <w:jc w:val="both"/>
        <w:rPr>
          <w:sz w:val="20"/>
          <w:szCs w:val="20"/>
        </w:rPr>
      </w:pPr>
      <w:r w:rsidRPr="000A26B4">
        <w:rPr>
          <w:sz w:val="20"/>
          <w:szCs w:val="20"/>
        </w:rPr>
        <w:t>a) En los Municipios en los que el Ayuntamiento esté integrado hasta por catorce regidores, se requiere la enseñanza media superior; y</w:t>
      </w:r>
    </w:p>
    <w:p w:rsidR="008A2887" w:rsidRPr="000A26B4" w:rsidRDefault="008A2887" w:rsidP="008A2887">
      <w:pPr>
        <w:jc w:val="both"/>
        <w:rPr>
          <w:sz w:val="20"/>
          <w:szCs w:val="20"/>
        </w:rPr>
      </w:pPr>
    </w:p>
    <w:p w:rsidR="008A2887" w:rsidRPr="000A26B4" w:rsidRDefault="008A2887" w:rsidP="008A2887">
      <w:pPr>
        <w:jc w:val="both"/>
        <w:rPr>
          <w:sz w:val="20"/>
          <w:szCs w:val="20"/>
        </w:rPr>
      </w:pPr>
      <w:r w:rsidRPr="000A26B4">
        <w:rPr>
          <w:sz w:val="20"/>
          <w:szCs w:val="20"/>
        </w:rPr>
        <w:t>b) En los Municipios en que el Ayuntamiento está integrado por más de catorce regidores, se requiere tener título profesional.</w:t>
      </w:r>
    </w:p>
    <w:p w:rsidR="008A2887" w:rsidRPr="000A26B4" w:rsidRDefault="008A2887" w:rsidP="008A2887">
      <w:pPr>
        <w:pStyle w:val="Sangradetextonormal"/>
        <w:ind w:left="0"/>
        <w:rPr>
          <w:rFonts w:ascii="Arial" w:hAnsi="Arial" w:cs="Arial"/>
          <w:sz w:val="20"/>
          <w:szCs w:val="2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Default="008A2887" w:rsidP="008A2887">
      <w:pPr>
        <w:jc w:val="both"/>
        <w:textAlignment w:val="top"/>
        <w:rPr>
          <w:rFonts w:ascii="Arial" w:hAnsi="Arial" w:cs="Arial"/>
          <w:color w:val="000000"/>
        </w:rPr>
      </w:pPr>
    </w:p>
    <w:p w:rsidR="008A2887" w:rsidRPr="00723FD5" w:rsidRDefault="008A2887" w:rsidP="008A2887">
      <w:pPr>
        <w:tabs>
          <w:tab w:val="left" w:pos="-720"/>
        </w:tabs>
        <w:suppressAutoHyphens/>
        <w:spacing w:after="200" w:line="276" w:lineRule="auto"/>
        <w:contextualSpacing/>
        <w:jc w:val="both"/>
        <w:rPr>
          <w:rFonts w:ascii="Arial" w:hAnsi="Arial" w:cs="Arial"/>
          <w:color w:val="000000" w:themeColor="text1"/>
        </w:rPr>
      </w:pPr>
      <w:r>
        <w:rPr>
          <w:rFonts w:ascii="Arial" w:eastAsiaTheme="minorHAnsi" w:hAnsi="Arial" w:cs="Arial"/>
          <w:b/>
          <w:bCs/>
          <w:lang w:val="es-MX" w:eastAsia="en-US"/>
        </w:rPr>
        <w:t xml:space="preserve">Fundamentación: </w:t>
      </w:r>
      <w:hyperlink r:id="rId21" w:history="1">
        <w:r w:rsidRPr="005156D5">
          <w:rPr>
            <w:rFonts w:ascii="Arial" w:hAnsi="Arial" w:cs="Arial"/>
            <w:color w:val="000000" w:themeColor="text1"/>
            <w:bdr w:val="none" w:sz="0" w:space="0" w:color="auto" w:frame="1"/>
            <w:shd w:val="clear" w:color="auto" w:fill="FFFFFF"/>
          </w:rPr>
          <w:t>Ley del Presupuesto, Contabilidad y Gasto Publico del Estado de Jalisco (20 de Enero 1998)</w:t>
        </w:r>
      </w:hyperlink>
      <w:r>
        <w:rPr>
          <w:rFonts w:ascii="Arial" w:hAnsi="Arial" w:cs="Arial"/>
          <w:color w:val="000000" w:themeColor="text1"/>
          <w:bdr w:val="none" w:sz="0" w:space="0" w:color="auto" w:frame="1"/>
          <w:shd w:val="clear" w:color="auto" w:fill="FFFFFF"/>
        </w:rPr>
        <w:t xml:space="preserve"> y la </w:t>
      </w:r>
      <w:hyperlink r:id="rId22" w:history="1">
        <w:r w:rsidRPr="00723FD5">
          <w:rPr>
            <w:rFonts w:ascii="Arial" w:hAnsi="Arial" w:cs="Arial"/>
            <w:color w:val="000000" w:themeColor="text1"/>
            <w:bdr w:val="none" w:sz="0" w:space="0" w:color="auto" w:frame="1"/>
            <w:shd w:val="clear" w:color="auto" w:fill="FFFFFF"/>
          </w:rPr>
          <w:t>Ley del Gobierno y la Administración Pública Municipal del Estado de Jalisco (5 de Octubre 2000 sección III)</w:t>
        </w:r>
      </w:hyperlink>
    </w:p>
    <w:p w:rsidR="008A2887" w:rsidRPr="001D55A2" w:rsidRDefault="008A2887" w:rsidP="008A2887">
      <w:pPr>
        <w:autoSpaceDE w:val="0"/>
        <w:autoSpaceDN w:val="0"/>
        <w:adjustRightInd w:val="0"/>
        <w:rPr>
          <w:rFonts w:ascii="Arial" w:eastAsiaTheme="minorHAnsi" w:hAnsi="Arial" w:cs="Arial"/>
          <w:color w:val="000000" w:themeColor="text1"/>
          <w:lang w:eastAsia="en-US"/>
        </w:rPr>
      </w:pPr>
    </w:p>
    <w:p w:rsidR="008A2887" w:rsidRDefault="008A2887" w:rsidP="008A2887">
      <w:pPr>
        <w:tabs>
          <w:tab w:val="left" w:pos="-720"/>
        </w:tabs>
        <w:suppressAutoHyphens/>
        <w:spacing w:after="200" w:line="276" w:lineRule="auto"/>
        <w:contextualSpacing/>
        <w:jc w:val="both"/>
        <w:rPr>
          <w:rFonts w:ascii="Arial" w:eastAsiaTheme="minorHAnsi" w:hAnsi="Arial" w:cs="Arial"/>
          <w:lang w:val="es-MX" w:eastAsia="en-US"/>
        </w:rPr>
      </w:pPr>
      <w:r>
        <w:rPr>
          <w:rFonts w:ascii="Arial" w:eastAsiaTheme="minorHAnsi" w:hAnsi="Arial" w:cs="Arial"/>
          <w:b/>
          <w:bCs/>
          <w:lang w:val="es-MX" w:eastAsia="en-US"/>
        </w:rPr>
        <w:t xml:space="preserve">Fuente: </w:t>
      </w:r>
      <w:r>
        <w:rPr>
          <w:rFonts w:ascii="Arial" w:eastAsiaTheme="minorHAnsi" w:hAnsi="Arial" w:cs="Arial"/>
          <w:lang w:val="es-MX" w:eastAsia="en-US"/>
        </w:rPr>
        <w:t>Sitio oficial de internet del Gobierno Municipal de Tonalá.</w:t>
      </w:r>
    </w:p>
    <w:p w:rsidR="008A2887" w:rsidRDefault="008A2887" w:rsidP="008A2887">
      <w:pPr>
        <w:tabs>
          <w:tab w:val="left" w:pos="-720"/>
        </w:tabs>
        <w:suppressAutoHyphens/>
        <w:spacing w:after="200" w:line="276" w:lineRule="auto"/>
        <w:contextualSpacing/>
        <w:jc w:val="both"/>
        <w:rPr>
          <w:rFonts w:ascii="Arial" w:eastAsiaTheme="minorHAnsi" w:hAnsi="Arial" w:cs="Arial"/>
          <w:lang w:val="es-MX" w:eastAsia="en-US"/>
        </w:rPr>
      </w:pPr>
    </w:p>
    <w:p w:rsidR="00D44C74" w:rsidRPr="008A2887" w:rsidRDefault="00D44C74">
      <w:pPr>
        <w:rPr>
          <w:lang w:val="es-MX"/>
        </w:rPr>
      </w:pPr>
    </w:p>
    <w:sectPr w:rsidR="00D44C74" w:rsidRPr="008A2887" w:rsidSect="00D44C74">
      <w:headerReference w:type="default" r:id="rId2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9CE" w:rsidRDefault="00C129CE" w:rsidP="008A2887">
      <w:r>
        <w:separator/>
      </w:r>
    </w:p>
  </w:endnote>
  <w:endnote w:type="continuationSeparator" w:id="0">
    <w:p w:rsidR="00C129CE" w:rsidRDefault="00C129CE" w:rsidP="008A28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9CE" w:rsidRDefault="00C129CE" w:rsidP="008A2887">
      <w:r>
        <w:separator/>
      </w:r>
    </w:p>
  </w:footnote>
  <w:footnote w:type="continuationSeparator" w:id="0">
    <w:p w:rsidR="00C129CE" w:rsidRDefault="00C129CE" w:rsidP="008A2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87" w:rsidRDefault="008A2887">
    <w:pPr>
      <w:pStyle w:val="Encabezado"/>
    </w:pPr>
    <w:r>
      <w:rPr>
        <w:noProof/>
        <w:lang w:val="es-MX" w:eastAsia="es-MX"/>
      </w:rPr>
      <w:drawing>
        <wp:inline distT="0" distB="0" distL="0" distR="0">
          <wp:extent cx="790575" cy="1126569"/>
          <wp:effectExtent l="19050" t="0" r="9525" b="0"/>
          <wp:docPr id="1" name="Imagen 1" descr="400px-Escudo_de_Tonal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px-Escudo_de_Tonala.svg"/>
                  <pic:cNvPicPr>
                    <a:picLocks noChangeAspect="1" noChangeArrowheads="1"/>
                  </pic:cNvPicPr>
                </pic:nvPicPr>
                <pic:blipFill>
                  <a:blip r:embed="rId1"/>
                  <a:srcRect/>
                  <a:stretch>
                    <a:fillRect/>
                  </a:stretch>
                </pic:blipFill>
                <pic:spPr bwMode="auto">
                  <a:xfrm>
                    <a:off x="0" y="0"/>
                    <a:ext cx="790575" cy="1126569"/>
                  </a:xfrm>
                  <a:prstGeom prst="rect">
                    <a:avLst/>
                  </a:prstGeom>
                  <a:noFill/>
                  <a:ln w="9525">
                    <a:noFill/>
                    <a:miter lim="800000"/>
                    <a:headEnd/>
                    <a:tailEnd/>
                  </a:ln>
                </pic:spPr>
              </pic:pic>
            </a:graphicData>
          </a:graphic>
        </wp:inline>
      </w:drawing>
    </w:r>
    <w:r>
      <w:t xml:space="preserve">   </w:t>
    </w:r>
    <w:r>
      <w:rPr>
        <w:noProof/>
        <w:lang w:val="es-MX" w:eastAsia="es-MX"/>
      </w:rPr>
      <w:t xml:space="preserve">                                                                               </w:t>
    </w:r>
    <w:r>
      <w:rPr>
        <w:noProof/>
        <w:lang w:val="es-MX" w:eastAsia="es-MX"/>
      </w:rPr>
      <w:drawing>
        <wp:inline distT="0" distB="0" distL="0" distR="0">
          <wp:extent cx="1657350" cy="1118711"/>
          <wp:effectExtent l="0" t="0" r="0" b="0"/>
          <wp:docPr id="4" name="Imagen 4" descr="Gobierno de Tonal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bierno de Tonalá"/>
                  <pic:cNvPicPr>
                    <a:picLocks noChangeAspect="1" noChangeArrowheads="1"/>
                  </pic:cNvPicPr>
                </pic:nvPicPr>
                <pic:blipFill>
                  <a:blip r:embed="rId2"/>
                  <a:srcRect/>
                  <a:stretch>
                    <a:fillRect/>
                  </a:stretch>
                </pic:blipFill>
                <pic:spPr bwMode="auto">
                  <a:xfrm>
                    <a:off x="0" y="0"/>
                    <a:ext cx="1657350" cy="1118711"/>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A2887"/>
    <w:rsid w:val="002A149A"/>
    <w:rsid w:val="008A2887"/>
    <w:rsid w:val="00C129CE"/>
    <w:rsid w:val="00D44C7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87"/>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uiPriority w:val="99"/>
    <w:qFormat/>
    <w:rsid w:val="008A2887"/>
    <w:pPr>
      <w:keepNext/>
      <w:spacing w:line="360" w:lineRule="auto"/>
      <w:outlineLvl w:val="2"/>
    </w:pPr>
    <w:rPr>
      <w:rFonts w:ascii="Arial" w:eastAsia="Calibri" w:hAnsi="Arial"/>
      <w:b/>
      <w:bCs/>
    </w:rPr>
  </w:style>
  <w:style w:type="paragraph" w:styleId="Ttulo4">
    <w:name w:val="heading 4"/>
    <w:basedOn w:val="Normal"/>
    <w:next w:val="Normal"/>
    <w:link w:val="Ttulo4Car"/>
    <w:uiPriority w:val="99"/>
    <w:qFormat/>
    <w:rsid w:val="008A2887"/>
    <w:pPr>
      <w:keepNext/>
      <w:jc w:val="both"/>
      <w:outlineLvl w:val="3"/>
    </w:pPr>
    <w:rPr>
      <w:rFonts w:ascii="Arial" w:hAnsi="Aria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8A2887"/>
    <w:rPr>
      <w:rFonts w:ascii="Arial" w:eastAsia="Calibri" w:hAnsi="Arial" w:cs="Times New Roman"/>
      <w:b/>
      <w:bCs/>
      <w:sz w:val="24"/>
      <w:szCs w:val="24"/>
      <w:lang w:val="es-ES" w:eastAsia="es-ES"/>
    </w:rPr>
  </w:style>
  <w:style w:type="character" w:customStyle="1" w:styleId="Ttulo4Car">
    <w:name w:val="Título 4 Car"/>
    <w:basedOn w:val="Fuentedeprrafopredeter"/>
    <w:link w:val="Ttulo4"/>
    <w:uiPriority w:val="99"/>
    <w:rsid w:val="008A2887"/>
    <w:rPr>
      <w:rFonts w:ascii="Arial" w:eastAsia="Times New Roman" w:hAnsi="Arial" w:cs="Times New Roman"/>
      <w:sz w:val="24"/>
      <w:szCs w:val="24"/>
      <w:lang w:val="es-ES" w:eastAsia="es-MX"/>
    </w:rPr>
  </w:style>
  <w:style w:type="paragraph" w:styleId="Sangradetextonormal">
    <w:name w:val="Body Text Indent"/>
    <w:basedOn w:val="Normal"/>
    <w:link w:val="SangradetextonormalCar"/>
    <w:uiPriority w:val="99"/>
    <w:rsid w:val="008A2887"/>
    <w:pPr>
      <w:spacing w:after="120"/>
      <w:ind w:left="283"/>
    </w:pPr>
  </w:style>
  <w:style w:type="character" w:customStyle="1" w:styleId="SangradetextonormalCar">
    <w:name w:val="Sangría de texto normal Car"/>
    <w:basedOn w:val="Fuentedeprrafopredeter"/>
    <w:link w:val="Sangradetextonormal"/>
    <w:uiPriority w:val="99"/>
    <w:rsid w:val="008A2887"/>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8A2887"/>
    <w:rPr>
      <w:color w:val="0000FF" w:themeColor="hyperlink"/>
      <w:u w:val="single"/>
    </w:rPr>
  </w:style>
  <w:style w:type="paragraph" w:styleId="Textoindependiente3">
    <w:name w:val="Body Text 3"/>
    <w:basedOn w:val="Normal"/>
    <w:link w:val="Textoindependiente3Car"/>
    <w:uiPriority w:val="99"/>
    <w:rsid w:val="008A2887"/>
    <w:pPr>
      <w:tabs>
        <w:tab w:val="left" w:pos="-720"/>
        <w:tab w:val="left" w:pos="0"/>
        <w:tab w:val="left" w:pos="720"/>
      </w:tabs>
      <w:suppressAutoHyphens/>
      <w:jc w:val="both"/>
    </w:pPr>
    <w:rPr>
      <w:spacing w:val="-3"/>
      <w:lang w:val="es-ES_tradnl"/>
    </w:rPr>
  </w:style>
  <w:style w:type="character" w:customStyle="1" w:styleId="Textoindependiente3Car">
    <w:name w:val="Texto independiente 3 Car"/>
    <w:basedOn w:val="Fuentedeprrafopredeter"/>
    <w:link w:val="Textoindependiente3"/>
    <w:uiPriority w:val="99"/>
    <w:rsid w:val="008A2887"/>
    <w:rPr>
      <w:rFonts w:ascii="Times New Roman" w:eastAsia="Times New Roman" w:hAnsi="Times New Roman" w:cs="Times New Roman"/>
      <w:spacing w:val="-3"/>
      <w:sz w:val="24"/>
      <w:szCs w:val="24"/>
      <w:lang w:val="es-ES_tradnl" w:eastAsia="es-ES"/>
    </w:rPr>
  </w:style>
  <w:style w:type="paragraph" w:styleId="Textodeglobo">
    <w:name w:val="Balloon Text"/>
    <w:basedOn w:val="Normal"/>
    <w:link w:val="TextodegloboCar"/>
    <w:uiPriority w:val="99"/>
    <w:semiHidden/>
    <w:unhideWhenUsed/>
    <w:rsid w:val="008A2887"/>
    <w:rPr>
      <w:rFonts w:ascii="Tahoma" w:hAnsi="Tahoma" w:cs="Tahoma"/>
      <w:sz w:val="16"/>
      <w:szCs w:val="16"/>
    </w:rPr>
  </w:style>
  <w:style w:type="character" w:customStyle="1" w:styleId="TextodegloboCar">
    <w:name w:val="Texto de globo Car"/>
    <w:basedOn w:val="Fuentedeprrafopredeter"/>
    <w:link w:val="Textodeglobo"/>
    <w:uiPriority w:val="99"/>
    <w:semiHidden/>
    <w:rsid w:val="008A2887"/>
    <w:rPr>
      <w:rFonts w:ascii="Tahoma" w:eastAsia="Times New Roman" w:hAnsi="Tahoma" w:cs="Tahoma"/>
      <w:sz w:val="16"/>
      <w:szCs w:val="16"/>
      <w:lang w:val="es-ES" w:eastAsia="es-ES"/>
    </w:rPr>
  </w:style>
  <w:style w:type="paragraph" w:styleId="Encabezado">
    <w:name w:val="header"/>
    <w:basedOn w:val="Normal"/>
    <w:link w:val="EncabezadoCar"/>
    <w:uiPriority w:val="99"/>
    <w:semiHidden/>
    <w:unhideWhenUsed/>
    <w:rsid w:val="008A2887"/>
    <w:pPr>
      <w:tabs>
        <w:tab w:val="center" w:pos="4419"/>
        <w:tab w:val="right" w:pos="8838"/>
      </w:tabs>
    </w:pPr>
  </w:style>
  <w:style w:type="character" w:customStyle="1" w:styleId="EncabezadoCar">
    <w:name w:val="Encabezado Car"/>
    <w:basedOn w:val="Fuentedeprrafopredeter"/>
    <w:link w:val="Encabezado"/>
    <w:uiPriority w:val="99"/>
    <w:semiHidden/>
    <w:rsid w:val="008A288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8A2887"/>
    <w:pPr>
      <w:tabs>
        <w:tab w:val="center" w:pos="4419"/>
        <w:tab w:val="right" w:pos="8838"/>
      </w:tabs>
    </w:pPr>
  </w:style>
  <w:style w:type="character" w:customStyle="1" w:styleId="PiedepginaCar">
    <w:name w:val="Pie de página Car"/>
    <w:basedOn w:val="Fuentedeprrafopredeter"/>
    <w:link w:val="Piedepgina"/>
    <w:uiPriority w:val="99"/>
    <w:semiHidden/>
    <w:rsid w:val="008A2887"/>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nala.gob.mx/portal/assets/ley-del-presupuesto%2c-contabilidad-y-gasto-publico-del-estado-de-jalisco.docx" TargetMode="External"/><Relationship Id="rId13" Type="http://schemas.openxmlformats.org/officeDocument/2006/relationships/image" Target="media/image2.png"/><Relationship Id="rId18" Type="http://schemas.openxmlformats.org/officeDocument/2006/relationships/hyperlink" Target="http://www.tonala.gob.mx/portal/assets/leydelgobiernoylaadministracionpublicamunicipaldelestadodejalisco.pdf" TargetMode="External"/><Relationship Id="rId3" Type="http://schemas.openxmlformats.org/officeDocument/2006/relationships/webSettings" Target="webSettings.xml"/><Relationship Id="rId21" Type="http://schemas.openxmlformats.org/officeDocument/2006/relationships/hyperlink" Target="http://www.tonala.gob.mx/portal/assets/ley-del-presupuesto%2c-contabilidad-y-gasto-publico-del-estado-de-jalisco.docx" TargetMode="External"/><Relationship Id="rId7" Type="http://schemas.openxmlformats.org/officeDocument/2006/relationships/hyperlink" Target="http://www.tonala.gob.mx/portal/assets/ley-del-presupuesto%2c-contabilidad-y-gasto-publico-del-estado-de-jalisco.docx" TargetMode="External"/><Relationship Id="rId12" Type="http://schemas.openxmlformats.org/officeDocument/2006/relationships/image" Target="media/image1.png"/><Relationship Id="rId17" Type="http://schemas.openxmlformats.org/officeDocument/2006/relationships/hyperlink" Target="http://www.tonala.gob.mx/portal/assets/leyparalosservidorespublicosdelestadodejaliscoysusmunicipios.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tonala.gob.mx/portal/assets/leydelgobiernoylaadministracionpublicamunicipaldelestadodejalisco.pdf" TargetMode="External"/><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tonala.gob.mx/portal/" TargetMode="External"/><Relationship Id="rId11" Type="http://schemas.openxmlformats.org/officeDocument/2006/relationships/hyperlink" Target="http://www.tonala.gob.mx/portal/assets/ley-del-presupuesto%2c-contabilidad-y-gasto-publico-del-estado-de-jalisco.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tonala.gob.mx/portal/" TargetMode="External"/><Relationship Id="rId23" Type="http://schemas.openxmlformats.org/officeDocument/2006/relationships/header" Target="header1.xml"/><Relationship Id="rId10" Type="http://schemas.openxmlformats.org/officeDocument/2006/relationships/hyperlink" Target="http://tonala.gob.mx/portal/leyes-estatales/" TargetMode="External"/><Relationship Id="rId19" Type="http://schemas.openxmlformats.org/officeDocument/2006/relationships/hyperlink" Target="http://www.tonala.gob.mx/portal/assets/leydelgobiernoylaadministracionpublicamunicipaldelestadodejalisco.pdf" TargetMode="External"/><Relationship Id="rId4" Type="http://schemas.openxmlformats.org/officeDocument/2006/relationships/footnotes" Target="footnotes.xml"/><Relationship Id="rId9" Type="http://schemas.openxmlformats.org/officeDocument/2006/relationships/hyperlink" Target="http://www.tonala.gob.mx/portal/assets/leyparalosservidorespublicosdelestadodejaliscoysusmunicipios.pdf" TargetMode="External"/><Relationship Id="rId14" Type="http://schemas.openxmlformats.org/officeDocument/2006/relationships/image" Target="media/image3.png"/><Relationship Id="rId22" Type="http://schemas.openxmlformats.org/officeDocument/2006/relationships/hyperlink" Target="http://www.tonala.gob.mx/portal/assets/leydelgobiernoylaadministracionpublicamunicipaldelestadodejalisc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819</Words>
  <Characters>4506</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1</cp:revision>
  <dcterms:created xsi:type="dcterms:W3CDTF">2017-09-18T16:47:00Z</dcterms:created>
  <dcterms:modified xsi:type="dcterms:W3CDTF">2017-09-18T16:51:00Z</dcterms:modified>
</cp:coreProperties>
</file>