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B5" w:rsidRDefault="00041EB5" w:rsidP="00041EB5">
      <w:pPr>
        <w:tabs>
          <w:tab w:val="left" w:pos="-720"/>
        </w:tabs>
        <w:suppressAutoHyphens/>
        <w:spacing w:after="200" w:line="276" w:lineRule="auto"/>
        <w:contextualSpacing/>
        <w:jc w:val="both"/>
        <w:rPr>
          <w:rFonts w:ascii="Arial" w:eastAsiaTheme="minorHAnsi" w:hAnsi="Arial" w:cs="Arial"/>
          <w:b/>
          <w:bCs/>
          <w:lang w:val="es-MX" w:eastAsia="en-US"/>
        </w:rPr>
      </w:pPr>
    </w:p>
    <w:p w:rsidR="00041EB5" w:rsidRDefault="00041EB5" w:rsidP="00041EB5">
      <w:pPr>
        <w:tabs>
          <w:tab w:val="left" w:pos="-720"/>
        </w:tabs>
        <w:suppressAutoHyphens/>
        <w:spacing w:after="200" w:line="276" w:lineRule="auto"/>
        <w:contextualSpacing/>
        <w:jc w:val="both"/>
        <w:rPr>
          <w:rFonts w:ascii="Arial" w:eastAsiaTheme="minorHAnsi" w:hAnsi="Arial" w:cs="Arial"/>
          <w:b/>
          <w:bCs/>
          <w:lang w:val="es-MX" w:eastAsia="en-US"/>
        </w:rPr>
      </w:pPr>
      <w:r>
        <w:rPr>
          <w:rFonts w:ascii="Arial" w:eastAsiaTheme="minorHAnsi" w:hAnsi="Arial" w:cs="Arial"/>
          <w:b/>
          <w:bCs/>
          <w:lang w:val="es-MX" w:eastAsia="en-US"/>
        </w:rPr>
        <w:t>81. ¿Contiene criterios para aprobar fideicomisos?</w:t>
      </w:r>
    </w:p>
    <w:p w:rsidR="00041EB5" w:rsidRDefault="00041EB5" w:rsidP="00041EB5">
      <w:pPr>
        <w:tabs>
          <w:tab w:val="left" w:pos="-720"/>
        </w:tabs>
        <w:suppressAutoHyphens/>
        <w:spacing w:after="200" w:line="276" w:lineRule="auto"/>
        <w:contextualSpacing/>
        <w:jc w:val="both"/>
        <w:rPr>
          <w:rFonts w:ascii="Arial" w:eastAsiaTheme="minorHAnsi" w:hAnsi="Arial" w:cs="Arial"/>
          <w:b/>
          <w:bCs/>
          <w:lang w:val="es-MX" w:eastAsia="en-US"/>
        </w:rPr>
      </w:pPr>
    </w:p>
    <w:p w:rsidR="00041EB5" w:rsidRPr="00BC0A2C" w:rsidRDefault="00041EB5" w:rsidP="00041EB5">
      <w:pPr>
        <w:jc w:val="both"/>
        <w:textAlignment w:val="top"/>
        <w:rPr>
          <w:rFonts w:ascii="Arial" w:hAnsi="Arial" w:cs="Arial"/>
          <w:color w:val="000000"/>
        </w:rPr>
      </w:pPr>
      <w:r w:rsidRPr="007B352C">
        <w:rPr>
          <w:rFonts w:ascii="Arial" w:hAnsi="Arial" w:cs="Arial"/>
          <w:color w:val="000000"/>
          <w:sz w:val="22"/>
          <w:szCs w:val="22"/>
        </w:rPr>
        <w:t>Los fideicomisos públicos son constituidos por el Gobierno del Estado, actuando en calidad de fideicomitente único, a través de la Secretaría de Planeación, Administración y Finanzas. Son una alternativa para financiar obras públicas y realizar inversiones para el desarrollo municipal.</w:t>
      </w:r>
      <w:r>
        <w:rPr>
          <w:rFonts w:ascii="Arial" w:hAnsi="Arial" w:cs="Arial"/>
          <w:color w:val="000000"/>
          <w:sz w:val="22"/>
          <w:szCs w:val="22"/>
        </w:rPr>
        <w:t xml:space="preserve"> </w:t>
      </w:r>
      <w:r w:rsidRPr="007B352C">
        <w:rPr>
          <w:rFonts w:ascii="Arial" w:hAnsi="Arial" w:cs="Arial"/>
          <w:color w:val="000000"/>
          <w:sz w:val="22"/>
          <w:szCs w:val="22"/>
        </w:rPr>
        <w:t>Los criterios se encuentran en el artículo 10 de la Ley del Presupuesto, Contabilidad y Gasto Publico, en el artículo 36, 60, 88, 89 y 141 de la Ley del Gobierno y la Administración Pública Muni</w:t>
      </w:r>
      <w:r>
        <w:rPr>
          <w:rFonts w:ascii="Arial" w:hAnsi="Arial" w:cs="Arial"/>
          <w:color w:val="000000"/>
          <w:sz w:val="22"/>
          <w:szCs w:val="22"/>
        </w:rPr>
        <w:t>cipal del Estado de Jalisco</w:t>
      </w:r>
      <w:r w:rsidRPr="00BC0A2C">
        <w:rPr>
          <w:rFonts w:ascii="Arial" w:hAnsi="Arial" w:cs="Arial"/>
          <w:color w:val="000000"/>
        </w:rPr>
        <w:t>, Artículo</w:t>
      </w:r>
      <w:r>
        <w:rPr>
          <w:rFonts w:ascii="Arial" w:hAnsi="Arial" w:cs="Arial"/>
          <w:color w:val="000000"/>
        </w:rPr>
        <w:t xml:space="preserve"> 20</w:t>
      </w:r>
      <w:r w:rsidRPr="00BC0A2C">
        <w:rPr>
          <w:rFonts w:ascii="Arial" w:hAnsi="Arial" w:cs="Arial"/>
          <w:color w:val="000000"/>
        </w:rPr>
        <w:t xml:space="preserve">8 del </w:t>
      </w:r>
      <w:r w:rsidRPr="00BC0A2C">
        <w:rPr>
          <w:rFonts w:ascii="Arial" w:hAnsi="Arial" w:cs="Arial"/>
        </w:rPr>
        <w:t>Reglamento del Gobierno y la Administración Pública del Ayuntamiento Constitucional de Tonalá, Jalisco.</w:t>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eastAsiaTheme="minorHAnsi" w:hAnsi="Arial" w:cs="Arial"/>
          <w:lang w:val="es-MX" w:eastAsia="en-US"/>
        </w:rPr>
        <w:t xml:space="preserve">Se puede consultar en la siguiente </w:t>
      </w:r>
      <w:r w:rsidRPr="00C71B91">
        <w:rPr>
          <w:rFonts w:ascii="Arial" w:eastAsiaTheme="minorHAnsi" w:hAnsi="Arial" w:cs="Arial"/>
          <w:b/>
          <w:lang w:val="es-MX" w:eastAsia="en-US"/>
        </w:rPr>
        <w:t>R</w:t>
      </w:r>
      <w:r>
        <w:rPr>
          <w:rFonts w:ascii="Arial" w:eastAsiaTheme="minorHAnsi" w:hAnsi="Arial" w:cs="Arial"/>
          <w:b/>
          <w:bCs/>
          <w:lang w:val="es-MX" w:eastAsia="en-US"/>
        </w:rPr>
        <w:t xml:space="preserve">uta de acceso: </w:t>
      </w:r>
      <w:hyperlink r:id="rId6"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lang w:val="es-MX" w:eastAsia="en-US"/>
        </w:rPr>
        <w:t xml:space="preserve">  Apartado de Transparencia- Leyes y Reglamentos- Leyes Estatales</w:t>
      </w:r>
      <w:r w:rsidRPr="00C53F77">
        <w:rPr>
          <w:rFonts w:ascii="Arial" w:eastAsiaTheme="minorHAnsi" w:hAnsi="Arial" w:cs="Arial"/>
          <w:bCs/>
          <w:color w:val="000000" w:themeColor="text1"/>
          <w:lang w:val="es-MX" w:eastAsia="en-US"/>
        </w:rPr>
        <w:t xml:space="preserve">- </w:t>
      </w:r>
      <w:hyperlink r:id="rId7" w:history="1">
        <w:r w:rsidRPr="005156D5">
          <w:rPr>
            <w:rFonts w:ascii="Arial" w:hAnsi="Arial" w:cs="Arial"/>
            <w:color w:val="000000" w:themeColor="text1"/>
            <w:bdr w:val="none" w:sz="0" w:space="0" w:color="auto" w:frame="1"/>
            <w:shd w:val="clear" w:color="auto" w:fill="FFFFFF"/>
          </w:rPr>
          <w:t>Ley del Presupuesto, Contabilidad y Gasto Público del Estado de Jalisco (20 de Enero 1998)</w:t>
        </w:r>
      </w:hyperlink>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autoSpaceDE w:val="0"/>
        <w:autoSpaceDN w:val="0"/>
        <w:adjustRightInd w:val="0"/>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Puede consultar directamente la</w:t>
      </w:r>
      <w:hyperlink r:id="rId8" w:history="1">
        <w:r w:rsidRPr="00974410">
          <w:rPr>
            <w:rFonts w:ascii="Arial" w:hAnsi="Arial" w:cs="Arial"/>
            <w:color w:val="000000" w:themeColor="text1"/>
            <w:bdr w:val="none" w:sz="0" w:space="0" w:color="auto" w:frame="1"/>
            <w:shd w:val="clear" w:color="auto" w:fill="FFFFFF"/>
          </w:rPr>
          <w:t xml:space="preserve">Ley del Presupuesto, Contabilidad y Gasto Publico del Estado de Jalisco </w:t>
        </w:r>
      </w:hyperlink>
      <w:hyperlink r:id="rId9" w:history="1"/>
      <w:r w:rsidRPr="00974410">
        <w:rPr>
          <w:rFonts w:ascii="Arial" w:eastAsiaTheme="minorHAnsi" w:hAnsi="Arial" w:cs="Arial"/>
          <w:color w:val="000000" w:themeColor="text1"/>
          <w:lang w:val="es-MX" w:eastAsia="en-US"/>
        </w:rPr>
        <w:t>en el sigu</w:t>
      </w:r>
      <w:r w:rsidRPr="00C56503">
        <w:rPr>
          <w:rFonts w:ascii="Arial" w:eastAsiaTheme="minorHAnsi" w:hAnsi="Arial" w:cs="Arial"/>
          <w:color w:val="000000" w:themeColor="text1"/>
          <w:lang w:val="es-MX" w:eastAsia="en-US"/>
        </w:rPr>
        <w:t>iente</w:t>
      </w:r>
      <w:r>
        <w:rPr>
          <w:rFonts w:ascii="Arial" w:eastAsiaTheme="minorHAnsi" w:hAnsi="Arial" w:cs="Arial"/>
          <w:b/>
          <w:color w:val="000000" w:themeColor="text1"/>
          <w:lang w:val="es-MX" w:eastAsia="en-US"/>
        </w:rPr>
        <w:t xml:space="preserve"> link:</w:t>
      </w:r>
    </w:p>
    <w:p w:rsidR="00041EB5" w:rsidRPr="004576FE" w:rsidRDefault="00041EB5" w:rsidP="00041EB5">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hyperlink r:id="rId10" w:history="1">
        <w:r w:rsidRPr="00A6161F">
          <w:rPr>
            <w:rStyle w:val="Hipervnculo"/>
            <w:rFonts w:ascii="Arial" w:eastAsiaTheme="minorHAnsi" w:hAnsi="Arial" w:cs="Arial"/>
            <w:b/>
            <w:lang w:val="es-MX" w:eastAsia="en-US"/>
          </w:rPr>
          <w:t>http://tonala.gob.mx/portal/leyes-estatales/</w:t>
        </w:r>
      </w:hyperlink>
      <w:r w:rsidRPr="00C56503">
        <w:rPr>
          <w:rFonts w:ascii="Arial" w:eastAsiaTheme="minorHAnsi" w:hAnsi="Arial" w:cs="Arial"/>
          <w:color w:val="000000" w:themeColor="text1"/>
          <w:lang w:val="es-MX" w:eastAsia="en-US"/>
        </w:rPr>
        <w:t xml:space="preserve">y dar </w:t>
      </w:r>
      <w:proofErr w:type="spellStart"/>
      <w:r w:rsidRPr="00C56503">
        <w:rPr>
          <w:rFonts w:ascii="Arial" w:eastAsiaTheme="minorHAnsi" w:hAnsi="Arial" w:cs="Arial"/>
          <w:color w:val="000000" w:themeColor="text1"/>
          <w:lang w:val="es-MX" w:eastAsia="en-US"/>
        </w:rPr>
        <w:t>click</w:t>
      </w:r>
      <w:proofErr w:type="spellEnd"/>
      <w:r w:rsidRPr="00C56503">
        <w:rPr>
          <w:rFonts w:ascii="Arial" w:eastAsiaTheme="minorHAnsi" w:hAnsi="Arial" w:cs="Arial"/>
          <w:color w:val="000000" w:themeColor="text1"/>
          <w:lang w:val="es-MX" w:eastAsia="en-US"/>
        </w:rPr>
        <w:t xml:space="preserve"> en</w:t>
      </w:r>
      <w:r>
        <w:rPr>
          <w:rFonts w:ascii="Arial" w:eastAsiaTheme="minorHAnsi" w:hAnsi="Arial" w:cs="Arial"/>
          <w:color w:val="000000" w:themeColor="text1"/>
          <w:lang w:val="es-MX" w:eastAsia="en-US"/>
        </w:rPr>
        <w:t xml:space="preserve"> </w:t>
      </w:r>
      <w:hyperlink r:id="rId11" w:history="1">
        <w:r w:rsidRPr="00974410">
          <w:rPr>
            <w:rFonts w:ascii="Arial" w:hAnsi="Arial" w:cs="Arial"/>
            <w:color w:val="000000" w:themeColor="text1"/>
            <w:bdr w:val="none" w:sz="0" w:space="0" w:color="auto" w:frame="1"/>
            <w:shd w:val="clear" w:color="auto" w:fill="FFFFFF"/>
          </w:rPr>
          <w:t>Ley del Presupuesto, Contabilidad y Gasto Publico del Estado de Jalisco</w:t>
        </w:r>
        <w:r>
          <w:rPr>
            <w:rFonts w:ascii="Arial" w:hAnsi="Arial" w:cs="Arial"/>
            <w:color w:val="000000" w:themeColor="text1"/>
            <w:bdr w:val="none" w:sz="0" w:space="0" w:color="auto" w:frame="1"/>
            <w:shd w:val="clear" w:color="auto" w:fill="FFFFFF"/>
          </w:rPr>
          <w:t>.</w:t>
        </w:r>
      </w:hyperlink>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MX"/>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MX"/>
        </w:rPr>
      </w:pPr>
      <w:r w:rsidRPr="00ED20D1">
        <w:rPr>
          <w:rFonts w:ascii="Arial" w:hAnsi="Arial" w:cs="Arial"/>
          <w:noProof/>
          <w:color w:val="000000" w:themeColor="text1"/>
          <w:lang w:val="es-MX" w:eastAsia="es-MX"/>
        </w:rPr>
        <w:drawing>
          <wp:inline distT="0" distB="0" distL="0" distR="0">
            <wp:extent cx="5895975" cy="3028950"/>
            <wp:effectExtent l="19050" t="0" r="9525" b="0"/>
            <wp:docPr id="72"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975" cy="3028950"/>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noProof/>
          <w:color w:val="000000" w:themeColor="text1"/>
          <w:lang w:val="es-MX" w:eastAsia="es-MX"/>
        </w:rPr>
      </w:pPr>
    </w:p>
    <w:p w:rsidR="00041EB5" w:rsidRDefault="00041EB5" w:rsidP="00041EB5">
      <w:pPr>
        <w:tabs>
          <w:tab w:val="left" w:pos="-720"/>
        </w:tabs>
        <w:suppressAutoHyphens/>
        <w:spacing w:after="200" w:line="276" w:lineRule="auto"/>
        <w:contextualSpacing/>
        <w:jc w:val="both"/>
        <w:rPr>
          <w:rFonts w:ascii="Arial" w:hAnsi="Arial" w:cs="Arial"/>
          <w:noProof/>
          <w:color w:val="000000" w:themeColor="text1"/>
          <w:lang w:val="es-MX" w:eastAsia="es-MX"/>
        </w:rPr>
      </w:pPr>
    </w:p>
    <w:p w:rsidR="00041EB5" w:rsidRDefault="00041EB5" w:rsidP="00041EB5">
      <w:pPr>
        <w:tabs>
          <w:tab w:val="left" w:pos="-720"/>
        </w:tabs>
        <w:suppressAutoHyphens/>
        <w:spacing w:after="200" w:line="276" w:lineRule="auto"/>
        <w:contextualSpacing/>
        <w:jc w:val="both"/>
        <w:rPr>
          <w:rFonts w:ascii="Arial" w:hAnsi="Arial" w:cs="Arial"/>
          <w:noProof/>
          <w:color w:val="000000" w:themeColor="text1"/>
          <w:lang w:val="es-MX" w:eastAsia="es-MX"/>
        </w:rPr>
      </w:pPr>
    </w:p>
    <w:p w:rsidR="00041EB5" w:rsidRPr="0005759B" w:rsidRDefault="00041EB5" w:rsidP="00041EB5">
      <w:pPr>
        <w:tabs>
          <w:tab w:val="left" w:pos="-720"/>
        </w:tabs>
        <w:suppressAutoHyphens/>
        <w:spacing w:after="200" w:line="276" w:lineRule="auto"/>
        <w:contextualSpacing/>
        <w:jc w:val="both"/>
        <w:rPr>
          <w:rFonts w:ascii="Arial" w:hAnsi="Arial" w:cs="Arial"/>
          <w:color w:val="000000" w:themeColor="text1"/>
          <w:lang w:val="es-MX"/>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34" o:spid="_x0000_s1026" type="#_x0000_t13" style="position:absolute;left:0;text-align:left;margin-left:-46.5pt;margin-top:249.75pt;width:51.75pt;height:1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" adj="18626" fillcolor="#00b050" strokecolor="windowText" strokeweight="2pt"/>
        </w:pict>
      </w:r>
      <w:r>
        <w:rPr>
          <w:rFonts w:ascii="Arial" w:hAnsi="Arial" w:cs="Arial"/>
          <w:noProof/>
          <w:color w:val="000000" w:themeColor="text1"/>
          <w:lang w:val="es-MX" w:eastAsia="es-MX"/>
        </w:rPr>
        <w:drawing>
          <wp:inline distT="0" distB="0" distL="0" distR="0">
            <wp:extent cx="6105525" cy="4333875"/>
            <wp:effectExtent l="0" t="0" r="9525" b="9525"/>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5525" cy="4333875"/>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lastRenderedPageBreak/>
        <w:drawing>
          <wp:inline distT="0" distB="0" distL="0" distR="0">
            <wp:extent cx="6010275" cy="3514725"/>
            <wp:effectExtent l="19050" t="0" r="9525"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60"/>
                    <a:stretch>
                      <a:fillRect/>
                    </a:stretch>
                  </pic:blipFill>
                  <pic:spPr bwMode="auto">
                    <a:xfrm>
                      <a:off x="0" y="0"/>
                      <a:ext cx="6010275" cy="3514725"/>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sidRPr="0005759B">
        <w:rPr>
          <w:rFonts w:ascii="Arial" w:eastAsiaTheme="minorHAnsi" w:hAnsi="Arial" w:cs="Arial"/>
          <w:color w:val="000000" w:themeColor="text1"/>
          <w:lang w:val="es-MX" w:eastAsia="en-US"/>
        </w:rPr>
        <w:t xml:space="preserve">Y también a través de la siguiente </w:t>
      </w:r>
      <w:r w:rsidRPr="0005759B">
        <w:rPr>
          <w:rFonts w:ascii="Arial" w:eastAsiaTheme="minorHAnsi" w:hAnsi="Arial" w:cs="Arial"/>
          <w:b/>
          <w:color w:val="000000" w:themeColor="text1"/>
          <w:lang w:val="es-MX" w:eastAsia="en-US"/>
        </w:rPr>
        <w:t>R</w:t>
      </w:r>
      <w:r w:rsidRPr="0005759B">
        <w:rPr>
          <w:rFonts w:ascii="Arial" w:eastAsiaTheme="minorHAnsi" w:hAnsi="Arial" w:cs="Arial"/>
          <w:b/>
          <w:bCs/>
          <w:color w:val="000000" w:themeColor="text1"/>
          <w:lang w:val="es-MX" w:eastAsia="en-US"/>
        </w:rPr>
        <w:t xml:space="preserve">uta de acceso: </w:t>
      </w:r>
      <w:hyperlink r:id="rId15" w:history="1">
        <w:r w:rsidRPr="0005759B">
          <w:rPr>
            <w:rStyle w:val="Hipervnculo"/>
            <w:rFonts w:ascii="Arial" w:eastAsiaTheme="minorHAnsi" w:hAnsi="Arial" w:cs="Arial"/>
            <w:bCs/>
            <w:color w:val="000000" w:themeColor="text1"/>
            <w:lang w:val="es-MX" w:eastAsia="en-US"/>
          </w:rPr>
          <w:t>http://tonala.gob.mx/portal/</w:t>
        </w:r>
      </w:hyperlink>
      <w:r w:rsidRPr="0005759B">
        <w:rPr>
          <w:rFonts w:ascii="Arial" w:eastAsiaTheme="minorHAnsi" w:hAnsi="Arial" w:cs="Arial"/>
          <w:bCs/>
          <w:color w:val="000000" w:themeColor="text1"/>
          <w:lang w:val="es-MX" w:eastAsia="en-US"/>
        </w:rPr>
        <w:t xml:space="preserve">  Apartado </w:t>
      </w:r>
      <w:r>
        <w:rPr>
          <w:rFonts w:ascii="Arial" w:eastAsiaTheme="minorHAnsi" w:hAnsi="Arial" w:cs="Arial"/>
          <w:bCs/>
          <w:lang w:val="es-MX" w:eastAsia="en-US"/>
        </w:rPr>
        <w:t>de Transparencia- Leyes y Reglamentos- Leyes Estatales</w:t>
      </w:r>
      <w:r w:rsidRPr="00C53F77">
        <w:rPr>
          <w:rFonts w:ascii="Arial" w:eastAsiaTheme="minorHAnsi" w:hAnsi="Arial" w:cs="Arial"/>
          <w:bCs/>
          <w:color w:val="000000" w:themeColor="text1"/>
          <w:lang w:val="es-MX" w:eastAsia="en-US"/>
        </w:rPr>
        <w:t xml:space="preserve">- </w:t>
      </w:r>
      <w:hyperlink r:id="rId16" w:history="1">
        <w:r w:rsidRPr="00723FD5">
          <w:rPr>
            <w:rFonts w:ascii="Arial" w:hAnsi="Arial" w:cs="Arial"/>
            <w:color w:val="000000" w:themeColor="text1"/>
            <w:bdr w:val="none" w:sz="0" w:space="0" w:color="auto" w:frame="1"/>
            <w:shd w:val="clear" w:color="auto" w:fill="FFFFFF"/>
          </w:rPr>
          <w:t>Ley del Gobierno y la Administración Pública Municipal del Estado de Jalisco (5 de Octubre 2000 sección III)</w:t>
        </w:r>
      </w:hyperlink>
    </w:p>
    <w:p w:rsidR="00041EB5" w:rsidRDefault="00041EB5" w:rsidP="00041EB5">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041EB5" w:rsidRDefault="00041EB5" w:rsidP="00041EB5">
      <w:pPr>
        <w:autoSpaceDE w:val="0"/>
        <w:autoSpaceDN w:val="0"/>
        <w:adjustRightInd w:val="0"/>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Puede consultar directamente la</w:t>
      </w:r>
      <w:hyperlink r:id="rId17" w:history="1"/>
      <w:hyperlink r:id="rId18" w:history="1">
        <w:r w:rsidRPr="0005759B">
          <w:rPr>
            <w:rFonts w:ascii="Arial" w:hAnsi="Arial" w:cs="Arial"/>
            <w:color w:val="000000" w:themeColor="text1"/>
            <w:sz w:val="23"/>
            <w:szCs w:val="23"/>
            <w:bdr w:val="none" w:sz="0" w:space="0" w:color="auto" w:frame="1"/>
            <w:shd w:val="clear" w:color="auto" w:fill="FFFFFF"/>
          </w:rPr>
          <w:t xml:space="preserve">Ley del Gobierno y la Administración Pública Municipal del Estado de Jalisco </w:t>
        </w:r>
      </w:hyperlink>
      <w:r w:rsidRPr="00974410">
        <w:rPr>
          <w:rFonts w:ascii="Arial" w:eastAsiaTheme="minorHAnsi" w:hAnsi="Arial" w:cs="Arial"/>
          <w:color w:val="000000" w:themeColor="text1"/>
          <w:lang w:val="es-MX" w:eastAsia="en-US"/>
        </w:rPr>
        <w:t>en el sigu</w:t>
      </w:r>
      <w:r w:rsidRPr="00C56503">
        <w:rPr>
          <w:rFonts w:ascii="Arial" w:eastAsiaTheme="minorHAnsi" w:hAnsi="Arial" w:cs="Arial"/>
          <w:color w:val="000000" w:themeColor="text1"/>
          <w:lang w:val="es-MX" w:eastAsia="en-US"/>
        </w:rPr>
        <w:t>iente</w:t>
      </w:r>
      <w:r>
        <w:rPr>
          <w:rFonts w:ascii="Arial" w:eastAsiaTheme="minorHAnsi" w:hAnsi="Arial" w:cs="Arial"/>
          <w:b/>
          <w:color w:val="000000" w:themeColor="text1"/>
          <w:lang w:val="es-MX" w:eastAsia="en-US"/>
        </w:rPr>
        <w:t xml:space="preserve"> link:</w:t>
      </w: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MX"/>
        </w:rPr>
      </w:pPr>
      <w:hyperlink r:id="rId19" w:history="1">
        <w:r w:rsidRPr="00A6161F">
          <w:rPr>
            <w:rStyle w:val="Hipervnculo"/>
            <w:rFonts w:ascii="Arial" w:hAnsi="Arial" w:cs="Arial"/>
            <w:lang w:val="es-MX"/>
          </w:rPr>
          <w:t>http://www.tonala.gob.mx/portal/assets/leydelgobiernoylaadministracionpublicamunicipaldelestadodejalisco.pdf</w:t>
        </w:r>
      </w:hyperlink>
    </w:p>
    <w:p w:rsidR="00041EB5" w:rsidRPr="0005759B" w:rsidRDefault="00041EB5" w:rsidP="00041EB5">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041EB5" w:rsidRPr="00723FD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drawing>
          <wp:inline distT="0" distB="0" distL="0" distR="0">
            <wp:extent cx="6115050" cy="3590925"/>
            <wp:effectExtent l="0" t="0" r="0" b="9525"/>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3590925"/>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pict>
          <v:shape id="Flecha derecha 238" o:spid="_x0000_s1027" type="#_x0000_t13" style="position:absolute;left:0;text-align:left;margin-left:-49.5pt;margin-top:131.95pt;width:51.75pt;height:14.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" adj="18626" fillcolor="#00b050" strokecolor="windowText" strokeweight="2pt"/>
        </w:pict>
      </w:r>
      <w:r>
        <w:rPr>
          <w:rFonts w:ascii="Arial" w:hAnsi="Arial" w:cs="Arial"/>
          <w:noProof/>
          <w:color w:val="000000" w:themeColor="text1"/>
          <w:lang w:val="es-MX" w:eastAsia="es-MX"/>
        </w:rPr>
        <w:drawing>
          <wp:inline distT="0" distB="0" distL="0" distR="0">
            <wp:extent cx="6115050" cy="4352925"/>
            <wp:effectExtent l="0" t="0" r="0" b="9525"/>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4352925"/>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suppressAutoHyphens/>
        <w:jc w:val="both"/>
        <w:rPr>
          <w:spacing w:val="-3"/>
          <w:sz w:val="20"/>
          <w:szCs w:val="20"/>
        </w:rPr>
      </w:pPr>
    </w:p>
    <w:p w:rsidR="00041EB5" w:rsidRDefault="00041EB5" w:rsidP="00041EB5">
      <w:pPr>
        <w:suppressAutoHyphens/>
        <w:jc w:val="both"/>
        <w:rPr>
          <w:spacing w:val="-3"/>
          <w:sz w:val="20"/>
          <w:szCs w:val="20"/>
        </w:rPr>
      </w:pPr>
    </w:p>
    <w:p w:rsidR="00041EB5" w:rsidRPr="002D4033" w:rsidRDefault="00041EB5" w:rsidP="00041EB5">
      <w:pPr>
        <w:suppressAutoHyphens/>
        <w:jc w:val="both"/>
        <w:rPr>
          <w:spacing w:val="-3"/>
          <w:sz w:val="20"/>
          <w:szCs w:val="20"/>
        </w:rPr>
      </w:pPr>
      <w:r w:rsidRPr="002D4033">
        <w:rPr>
          <w:spacing w:val="-3"/>
          <w:sz w:val="20"/>
          <w:szCs w:val="20"/>
        </w:rPr>
        <w:t>Al margen un sello que dice: Gobierno de Jalisco. Poder Ejecutivo. Secretaría General de Gobierno. Estados Unidos Mexicanos.</w:t>
      </w:r>
    </w:p>
    <w:p w:rsidR="00041EB5" w:rsidRPr="002D4033" w:rsidRDefault="00041EB5" w:rsidP="00041EB5">
      <w:pPr>
        <w:jc w:val="both"/>
        <w:rPr>
          <w:b/>
          <w:bCs/>
          <w:sz w:val="20"/>
          <w:szCs w:val="20"/>
        </w:rPr>
      </w:pPr>
    </w:p>
    <w:p w:rsidR="00041EB5" w:rsidRPr="002D4033" w:rsidRDefault="00041EB5" w:rsidP="00041EB5">
      <w:pPr>
        <w:jc w:val="both"/>
        <w:rPr>
          <w:sz w:val="20"/>
          <w:szCs w:val="20"/>
        </w:rPr>
      </w:pPr>
      <w:r w:rsidRPr="002D4033">
        <w:rPr>
          <w:b/>
          <w:bCs/>
          <w:sz w:val="20"/>
          <w:szCs w:val="20"/>
        </w:rPr>
        <w:lastRenderedPageBreak/>
        <w:t>Alberto Cárdenas Jiménez</w:t>
      </w:r>
      <w:r w:rsidRPr="002D4033">
        <w:rPr>
          <w:sz w:val="20"/>
          <w:szCs w:val="20"/>
        </w:rPr>
        <w:t xml:space="preserve">, Gobernador Constitucional del Estado Libre y Soberano de Jalisco, a los habitantes del mismo hago saber, que por conducto de </w:t>
      </w:r>
      <w:smartTag w:uri="urn:schemas-microsoft-com:office:smarttags" w:element="PersonName">
        <w:smartTagPr>
          <w:attr w:name="ProductID" w:val="la Secretar￭a"/>
        </w:smartTagPr>
        <w:r w:rsidRPr="002D4033">
          <w:rPr>
            <w:sz w:val="20"/>
            <w:szCs w:val="20"/>
          </w:rPr>
          <w:t>la Secretaría</w:t>
        </w:r>
      </w:smartTag>
      <w:r w:rsidRPr="002D4033">
        <w:rPr>
          <w:sz w:val="20"/>
          <w:szCs w:val="20"/>
        </w:rPr>
        <w:t xml:space="preserve"> del H. Congreso de esta Entidad Federativa, se me ha comunicado el siguiente decreto</w:t>
      </w:r>
    </w:p>
    <w:p w:rsidR="00041EB5" w:rsidRPr="002D4033" w:rsidRDefault="00041EB5" w:rsidP="00041EB5">
      <w:pPr>
        <w:jc w:val="both"/>
        <w:rPr>
          <w:sz w:val="20"/>
          <w:szCs w:val="20"/>
        </w:rPr>
      </w:pPr>
    </w:p>
    <w:p w:rsidR="00041EB5" w:rsidRPr="002D4033" w:rsidRDefault="00041EB5" w:rsidP="00041EB5">
      <w:pPr>
        <w:pStyle w:val="Textoindependiente3"/>
        <w:rPr>
          <w:sz w:val="20"/>
          <w:szCs w:val="20"/>
          <w:lang w:val="es-ES"/>
        </w:rPr>
      </w:pPr>
      <w:r w:rsidRPr="002D4033">
        <w:rPr>
          <w:sz w:val="20"/>
          <w:szCs w:val="20"/>
          <w:lang w:val="es-ES"/>
        </w:rPr>
        <w:t>NUMERO 18503.- EL CONGRESO DEL ESTADO DECRETA:</w:t>
      </w:r>
    </w:p>
    <w:p w:rsidR="00041EB5" w:rsidRPr="002D4033" w:rsidRDefault="00041EB5" w:rsidP="00041EB5">
      <w:pPr>
        <w:jc w:val="both"/>
        <w:rPr>
          <w:b/>
          <w:bCs/>
          <w:sz w:val="20"/>
          <w:szCs w:val="20"/>
        </w:rPr>
      </w:pPr>
    </w:p>
    <w:p w:rsidR="00041EB5" w:rsidRPr="002D4033" w:rsidRDefault="00041EB5" w:rsidP="00041EB5">
      <w:pPr>
        <w:jc w:val="center"/>
        <w:rPr>
          <w:b/>
          <w:bCs/>
          <w:sz w:val="20"/>
          <w:szCs w:val="20"/>
        </w:rPr>
      </w:pPr>
      <w:r w:rsidRPr="002D4033">
        <w:rPr>
          <w:b/>
          <w:bCs/>
          <w:sz w:val="20"/>
          <w:szCs w:val="20"/>
        </w:rPr>
        <w:t xml:space="preserve">LEY DEL GOBIERNO Y </w:t>
      </w:r>
      <w:smartTag w:uri="urn:schemas-microsoft-com:office:smarttags" w:element="PersonName">
        <w:smartTagPr>
          <w:attr w:name="ProductID" w:val="LA ADMINISTRACIￓN PￚBLICA"/>
        </w:smartTagPr>
        <w:r w:rsidRPr="002D4033">
          <w:rPr>
            <w:b/>
            <w:bCs/>
            <w:sz w:val="20"/>
            <w:szCs w:val="20"/>
          </w:rPr>
          <w:t>LA ADMINISTRACIÓN PÚBLICA</w:t>
        </w:r>
      </w:smartTag>
      <w:r w:rsidRPr="002D4033">
        <w:rPr>
          <w:b/>
          <w:bCs/>
          <w:sz w:val="20"/>
          <w:szCs w:val="20"/>
        </w:rPr>
        <w:t xml:space="preserve"> MUNICIPAL </w:t>
      </w:r>
    </w:p>
    <w:p w:rsidR="00041EB5" w:rsidRPr="002D4033" w:rsidRDefault="00041EB5" w:rsidP="00041EB5">
      <w:pPr>
        <w:jc w:val="center"/>
        <w:rPr>
          <w:b/>
          <w:bCs/>
          <w:sz w:val="20"/>
          <w:szCs w:val="20"/>
        </w:rPr>
      </w:pPr>
      <w:r w:rsidRPr="002D4033">
        <w:rPr>
          <w:b/>
          <w:bCs/>
          <w:sz w:val="20"/>
          <w:szCs w:val="20"/>
        </w:rPr>
        <w:t>DEL ESTADO DE JALISCO</w:t>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Pr="00747366" w:rsidRDefault="00041EB5" w:rsidP="00041EB5">
      <w:pPr>
        <w:jc w:val="both"/>
        <w:rPr>
          <w:snapToGrid w:val="0"/>
          <w:sz w:val="20"/>
          <w:szCs w:val="20"/>
        </w:rPr>
      </w:pPr>
      <w:r w:rsidRPr="00747366">
        <w:rPr>
          <w:b/>
          <w:bCs/>
          <w:snapToGrid w:val="0"/>
          <w:sz w:val="20"/>
          <w:szCs w:val="20"/>
        </w:rPr>
        <w:t>Artículo 36</w:t>
      </w:r>
      <w:r w:rsidRPr="00747366">
        <w:rPr>
          <w:snapToGrid w:val="0"/>
          <w:sz w:val="20"/>
          <w:szCs w:val="20"/>
        </w:rPr>
        <w:t>. Se requiere el voto favorable de la mayoría calificada de los integrantes del Ayuntamiento para:</w:t>
      </w:r>
    </w:p>
    <w:p w:rsidR="00041EB5" w:rsidRPr="00747366" w:rsidRDefault="00041EB5" w:rsidP="00041EB5">
      <w:pPr>
        <w:ind w:firstLine="708"/>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I. Celebrar actos jurídicos o convenios que comprometan al Municipio por un plazo mayor al periodo del Ayuntamiento;</w:t>
      </w:r>
    </w:p>
    <w:p w:rsidR="00041EB5" w:rsidRPr="00747366" w:rsidRDefault="00041EB5" w:rsidP="00041EB5">
      <w:pPr>
        <w:jc w:val="both"/>
        <w:rPr>
          <w:snapToGrid w:val="0"/>
          <w:sz w:val="20"/>
          <w:szCs w:val="20"/>
        </w:rPr>
      </w:pPr>
    </w:p>
    <w:p w:rsidR="00041EB5" w:rsidRPr="00747366" w:rsidRDefault="00041EB5" w:rsidP="00041EB5">
      <w:pPr>
        <w:jc w:val="both"/>
        <w:rPr>
          <w:snapToGrid w:val="0"/>
          <w:sz w:val="20"/>
          <w:szCs w:val="20"/>
        </w:rPr>
      </w:pPr>
      <w:r w:rsidRPr="00747366">
        <w:rPr>
          <w:sz w:val="20"/>
          <w:szCs w:val="20"/>
        </w:rPr>
        <w:t xml:space="preserve">II. </w:t>
      </w:r>
      <w:r w:rsidRPr="00747366">
        <w:rPr>
          <w:snapToGrid w:val="0"/>
          <w:sz w:val="20"/>
          <w:szCs w:val="20"/>
        </w:rPr>
        <w:t>Crear organismos públicos descentralizados municipales o constituir empresas de participación municipal mayoritaria;</w:t>
      </w:r>
    </w:p>
    <w:p w:rsidR="00041EB5" w:rsidRPr="00747366" w:rsidRDefault="00041EB5" w:rsidP="00041EB5">
      <w:pPr>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III. Adquirir bienes inmuebles a título oneroso;</w:t>
      </w:r>
    </w:p>
    <w:p w:rsidR="00041EB5" w:rsidRPr="00747366" w:rsidRDefault="00041EB5" w:rsidP="00041EB5">
      <w:pPr>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IV. Establecer gravámenes sobre bienes que formen parte del patrimonio municipal;</w:t>
      </w:r>
    </w:p>
    <w:p w:rsidR="00041EB5" w:rsidRPr="00747366" w:rsidRDefault="00041EB5" w:rsidP="00041EB5">
      <w:pPr>
        <w:ind w:left="1413" w:hanging="705"/>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V. Desincorporar bienes del dominio público del Municipio;</w:t>
      </w:r>
    </w:p>
    <w:p w:rsidR="00041EB5" w:rsidRPr="00747366" w:rsidRDefault="00041EB5" w:rsidP="00041EB5">
      <w:pPr>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VI. Enajenar bienes inmuebles que formen parte del patrimonio municipal;</w:t>
      </w:r>
    </w:p>
    <w:p w:rsidR="00041EB5" w:rsidRPr="00747366" w:rsidRDefault="00041EB5" w:rsidP="00041EB5">
      <w:pPr>
        <w:ind w:left="1413"/>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VII. Solicitar al Congreso del Estado, cuando haya imposibilidad del Municipio y no exista convenio, que el Poder Ejecutivo del Estado asuma una función o un servicio público municipal;</w:t>
      </w:r>
    </w:p>
    <w:p w:rsidR="00041EB5" w:rsidRPr="00747366" w:rsidRDefault="00041EB5" w:rsidP="00041EB5">
      <w:pPr>
        <w:ind w:left="1413"/>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 xml:space="preserve">VIII.  Aprobar la concesión de bienes y servicios públicos municipales a los particulares; </w:t>
      </w:r>
    </w:p>
    <w:p w:rsidR="00041EB5" w:rsidRPr="00747366" w:rsidRDefault="00041EB5" w:rsidP="00041EB5">
      <w:pPr>
        <w:ind w:left="1413"/>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IX. Celebrar contratos de fideicomiso público; y</w:t>
      </w:r>
    </w:p>
    <w:p w:rsidR="00041EB5" w:rsidRPr="00747366" w:rsidRDefault="00041EB5" w:rsidP="00041EB5">
      <w:pPr>
        <w:jc w:val="both"/>
        <w:rPr>
          <w:snapToGrid w:val="0"/>
          <w:sz w:val="20"/>
          <w:szCs w:val="20"/>
        </w:rPr>
      </w:pPr>
    </w:p>
    <w:p w:rsidR="00041EB5" w:rsidRPr="00747366" w:rsidRDefault="00041EB5" w:rsidP="00041EB5">
      <w:pPr>
        <w:jc w:val="both"/>
        <w:rPr>
          <w:snapToGrid w:val="0"/>
          <w:sz w:val="20"/>
          <w:szCs w:val="20"/>
        </w:rPr>
      </w:pPr>
      <w:r w:rsidRPr="00747366">
        <w:rPr>
          <w:snapToGrid w:val="0"/>
          <w:sz w:val="20"/>
          <w:szCs w:val="20"/>
        </w:rPr>
        <w:t>X.  Los demás casos que señalen la presente ley y otras leyes.</w:t>
      </w:r>
    </w:p>
    <w:p w:rsidR="00041EB5" w:rsidRPr="00976D5D" w:rsidRDefault="00041EB5" w:rsidP="00041EB5">
      <w:pPr>
        <w:rPr>
          <w:snapToGrid w:val="0"/>
          <w:sz w:val="20"/>
          <w:szCs w:val="20"/>
        </w:rPr>
      </w:pPr>
    </w:p>
    <w:p w:rsidR="00041EB5" w:rsidRPr="00976D5D" w:rsidRDefault="00041EB5" w:rsidP="00041EB5">
      <w:pPr>
        <w:jc w:val="both"/>
        <w:rPr>
          <w:snapToGrid w:val="0"/>
          <w:sz w:val="20"/>
          <w:szCs w:val="20"/>
        </w:rPr>
      </w:pPr>
    </w:p>
    <w:p w:rsidR="00041EB5" w:rsidRPr="00A26A36" w:rsidRDefault="00041EB5" w:rsidP="00041EB5">
      <w:pPr>
        <w:pStyle w:val="Ttulo2"/>
        <w:jc w:val="center"/>
        <w:rPr>
          <w:color w:val="000000" w:themeColor="text1"/>
          <w:sz w:val="20"/>
          <w:szCs w:val="20"/>
        </w:rPr>
      </w:pPr>
      <w:r w:rsidRPr="00A26A36">
        <w:rPr>
          <w:color w:val="000000" w:themeColor="text1"/>
          <w:sz w:val="20"/>
          <w:szCs w:val="20"/>
        </w:rPr>
        <w:t>CAPÍTULO VIII</w:t>
      </w:r>
    </w:p>
    <w:p w:rsidR="00041EB5" w:rsidRPr="00A26A36" w:rsidRDefault="00041EB5" w:rsidP="00041EB5">
      <w:pPr>
        <w:pStyle w:val="Ttulo7"/>
        <w:jc w:val="center"/>
        <w:rPr>
          <w:snapToGrid w:val="0"/>
          <w:color w:val="000000" w:themeColor="text1"/>
        </w:rPr>
      </w:pPr>
      <w:r w:rsidRPr="00A26A36">
        <w:rPr>
          <w:snapToGrid w:val="0"/>
          <w:color w:val="000000" w:themeColor="text1"/>
        </w:rPr>
        <w:t>De las Obligaciones y Facultades de los Ayuntamientos</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b/>
          <w:bCs/>
          <w:snapToGrid w:val="0"/>
          <w:sz w:val="20"/>
          <w:szCs w:val="20"/>
        </w:rPr>
        <w:t>Artículo 37</w:t>
      </w:r>
      <w:r w:rsidRPr="00976D5D">
        <w:rPr>
          <w:snapToGrid w:val="0"/>
          <w:sz w:val="20"/>
          <w:szCs w:val="20"/>
        </w:rPr>
        <w:t>. Son obligaciones de los Ayuntamientos, las siguientes:</w:t>
      </w:r>
    </w:p>
    <w:p w:rsidR="00041EB5" w:rsidRPr="00976D5D" w:rsidRDefault="00041EB5" w:rsidP="00041EB5">
      <w:pPr>
        <w:jc w:val="both"/>
        <w:rPr>
          <w:snapToGrid w:val="0"/>
          <w:sz w:val="20"/>
          <w:szCs w:val="20"/>
        </w:rPr>
      </w:pPr>
    </w:p>
    <w:p w:rsidR="00041EB5" w:rsidRPr="002C3A48" w:rsidRDefault="00041EB5" w:rsidP="00041EB5">
      <w:pPr>
        <w:jc w:val="both"/>
        <w:rPr>
          <w:snapToGrid w:val="0"/>
          <w:sz w:val="20"/>
          <w:szCs w:val="20"/>
        </w:rPr>
      </w:pPr>
      <w:r w:rsidRPr="00976D5D">
        <w:rPr>
          <w:snapToGrid w:val="0"/>
          <w:sz w:val="20"/>
          <w:szCs w:val="20"/>
        </w:rPr>
        <w:t xml:space="preserve">I. Presentar al Congreso del Estado las iniciativas de sus leyes de ingresos a mas tardar el día 31 de agosto de cada año; en caso de no hacerlo, se tomarán como iniciativas las leyes que hubiesen regido durante el año fiscal </w:t>
      </w:r>
      <w:r w:rsidRPr="002C3A48">
        <w:rPr>
          <w:snapToGrid w:val="0"/>
          <w:sz w:val="20"/>
          <w:szCs w:val="20"/>
        </w:rPr>
        <w:t>inmediato anterior. Los ayuntamientos pueden solicitar al Congreso del Estado las ampliaciones que a su juicio ameriten sus leyes de ingresos ya aprobadas.</w:t>
      </w:r>
    </w:p>
    <w:p w:rsidR="00041EB5" w:rsidRPr="002C3A48" w:rsidRDefault="00041EB5" w:rsidP="00041EB5">
      <w:pPr>
        <w:jc w:val="both"/>
        <w:rPr>
          <w:snapToGrid w:val="0"/>
          <w:sz w:val="20"/>
          <w:szCs w:val="20"/>
        </w:rPr>
      </w:pPr>
    </w:p>
    <w:p w:rsidR="00041EB5" w:rsidRPr="002C3A48" w:rsidRDefault="00041EB5" w:rsidP="00041EB5">
      <w:pPr>
        <w:jc w:val="both"/>
        <w:rPr>
          <w:b/>
          <w:sz w:val="20"/>
          <w:szCs w:val="20"/>
        </w:rPr>
      </w:pPr>
      <w:r w:rsidRPr="002C3A48">
        <w:rPr>
          <w:sz w:val="20"/>
          <w:szCs w:val="20"/>
        </w:rPr>
        <w:t xml:space="preserve">Las iniciativas de leyes de ingresos se deberán presentar cumpliendo con las disposiciones y requisitos establecidos en la Ley General de Contabilidad Gubernamental, la Ley de Disciplina Financiera de las Entidades Federativas y los </w:t>
      </w:r>
      <w:proofErr w:type="spellStart"/>
      <w:r w:rsidRPr="002C3A48">
        <w:rPr>
          <w:sz w:val="20"/>
          <w:szCs w:val="20"/>
        </w:rPr>
        <w:t>Municipios</w:t>
      </w:r>
      <w:proofErr w:type="gramStart"/>
      <w:r w:rsidRPr="002C3A48">
        <w:rPr>
          <w:sz w:val="20"/>
          <w:szCs w:val="20"/>
        </w:rPr>
        <w:t>,la</w:t>
      </w:r>
      <w:proofErr w:type="spellEnd"/>
      <w:proofErr w:type="gramEnd"/>
      <w:r w:rsidRPr="002C3A48">
        <w:rPr>
          <w:sz w:val="20"/>
          <w:szCs w:val="20"/>
        </w:rPr>
        <w:t xml:space="preserve"> Ley de Deuda Pública y Disciplina Financiera del Estado de Jalisco </w:t>
      </w:r>
      <w:r w:rsidRPr="002C3A48">
        <w:rPr>
          <w:sz w:val="20"/>
          <w:szCs w:val="20"/>
        </w:rPr>
        <w:lastRenderedPageBreak/>
        <w:t xml:space="preserve">y sus Municipios, la Ley de Hacienda Municipal del Estado de Jalisco así </w:t>
      </w:r>
      <w:proofErr w:type="spellStart"/>
      <w:r w:rsidRPr="002C3A48">
        <w:rPr>
          <w:sz w:val="20"/>
          <w:szCs w:val="20"/>
        </w:rPr>
        <w:t>comolas</w:t>
      </w:r>
      <w:proofErr w:type="spellEnd"/>
      <w:r w:rsidRPr="002C3A48">
        <w:rPr>
          <w:sz w:val="20"/>
          <w:szCs w:val="20"/>
        </w:rPr>
        <w:t xml:space="preserve"> normas que para tal efecto emita el Consejo Nacional de Armonización Contable.</w:t>
      </w:r>
    </w:p>
    <w:p w:rsidR="00041EB5" w:rsidRPr="002C3A48" w:rsidRDefault="00041EB5" w:rsidP="00041EB5">
      <w:pPr>
        <w:jc w:val="both"/>
        <w:rPr>
          <w:sz w:val="20"/>
          <w:szCs w:val="20"/>
        </w:rPr>
      </w:pPr>
    </w:p>
    <w:p w:rsidR="00041EB5" w:rsidRPr="002C3A48" w:rsidRDefault="00041EB5" w:rsidP="00041EB5">
      <w:pPr>
        <w:jc w:val="both"/>
        <w:rPr>
          <w:sz w:val="20"/>
          <w:szCs w:val="20"/>
        </w:rPr>
      </w:pPr>
      <w:r w:rsidRPr="002C3A48">
        <w:rPr>
          <w:sz w:val="20"/>
          <w:szCs w:val="20"/>
        </w:rPr>
        <w:t>Los munícipes que incumplan esta obligación, incurrirán en responsabilidad, en los términos de la ley estatal en materia de responsabilidades de los servidores públicos, así como de la Ley de Disciplina Financiera de las Entidades Federativas y los Municipios;</w:t>
      </w:r>
    </w:p>
    <w:p w:rsidR="00041EB5" w:rsidRPr="002C3A48"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rsidR="00041EB5" w:rsidRPr="00976D5D" w:rsidRDefault="00041EB5" w:rsidP="00041EB5">
      <w:pPr>
        <w:ind w:left="705"/>
        <w:jc w:val="both"/>
        <w:rPr>
          <w:snapToGrid w:val="0"/>
          <w:sz w:val="20"/>
          <w:szCs w:val="20"/>
        </w:rPr>
      </w:pPr>
    </w:p>
    <w:p w:rsidR="00041EB5" w:rsidRPr="002C3A48" w:rsidRDefault="00041EB5" w:rsidP="00041EB5">
      <w:pPr>
        <w:jc w:val="both"/>
        <w:rPr>
          <w:sz w:val="20"/>
          <w:szCs w:val="20"/>
        </w:rPr>
      </w:pPr>
      <w:r w:rsidRPr="002C3A48">
        <w:rPr>
          <w:sz w:val="20"/>
          <w:szCs w:val="20"/>
        </w:rPr>
        <w:t>La aprobación de presupuesto de egresos y en su caso la aplicación del gasto público municipal, se sujetarán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p>
    <w:p w:rsidR="00041EB5" w:rsidRDefault="00041EB5" w:rsidP="00041EB5">
      <w:pPr>
        <w:tabs>
          <w:tab w:val="left" w:pos="709"/>
        </w:tabs>
        <w:jc w:val="both"/>
        <w:rPr>
          <w:sz w:val="20"/>
          <w:szCs w:val="20"/>
        </w:rPr>
      </w:pPr>
    </w:p>
    <w:p w:rsidR="00041EB5" w:rsidRPr="00976D5D" w:rsidRDefault="00041EB5" w:rsidP="00041EB5">
      <w:pPr>
        <w:tabs>
          <w:tab w:val="left" w:pos="709"/>
        </w:tabs>
        <w:jc w:val="both"/>
        <w:rPr>
          <w:sz w:val="20"/>
          <w:szCs w:val="20"/>
        </w:rPr>
      </w:pPr>
      <w:r w:rsidRPr="00976D5D">
        <w:rPr>
          <w:sz w:val="20"/>
          <w:szCs w:val="20"/>
        </w:rPr>
        <w:t xml:space="preserve">III. Remitir a </w:t>
      </w:r>
      <w:smartTag w:uri="urn:schemas-microsoft-com:office:smarttags" w:element="PersonName">
        <w:smartTagPr>
          <w:attr w:name="ProductID" w:val="la Auditor￭a Superior"/>
        </w:smartTagPr>
        <w:r w:rsidRPr="00976D5D">
          <w:rPr>
            <w:sz w:val="20"/>
            <w:szCs w:val="20"/>
          </w:rPr>
          <w:t>la Auditoría Superior</w:t>
        </w:r>
      </w:smartTag>
      <w:r w:rsidRPr="00976D5D">
        <w:rPr>
          <w:sz w:val="20"/>
          <w:szCs w:val="20"/>
        </w:rPr>
        <w:t xml:space="preserve"> a más tardar el día veinte de cada mes, la cuenta detallada de los movimientos de fondos ocurridos en el mes anterior; a más tardar el día último de julio, el corte del primer semestre; y a más tardar el día último de febrero, el corte general del año inmediato anterior;</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IV. Conservar y acrecentar los bienes materiales del Municipio y llevar el Registro Público de Bienes Municipales, en el que se señalen los bienes del dominio público y del dominio privado del Municipio y de sus  entidades;</w:t>
      </w:r>
    </w:p>
    <w:p w:rsidR="00041EB5" w:rsidRPr="00976D5D" w:rsidRDefault="00041EB5" w:rsidP="00041EB5">
      <w:pPr>
        <w:ind w:firstLine="709"/>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V. Cuidar de la prestación de todos los servicios públicos de su competencia;</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VI. Observar las disposiciones de las leyes federales y estatales en el desempeño de las funciones o en la prestación de los servicios a su cargo;</w:t>
      </w:r>
    </w:p>
    <w:p w:rsidR="00041EB5" w:rsidRPr="00976D5D" w:rsidRDefault="00041EB5" w:rsidP="00041EB5">
      <w:pPr>
        <w:jc w:val="both"/>
        <w:rPr>
          <w:snapToGrid w:val="0"/>
          <w:sz w:val="20"/>
          <w:szCs w:val="20"/>
        </w:rPr>
      </w:pPr>
    </w:p>
    <w:p w:rsidR="00041EB5" w:rsidRPr="00976D5D" w:rsidRDefault="00041EB5" w:rsidP="00041EB5">
      <w:pPr>
        <w:pStyle w:val="Textoindependiente"/>
        <w:rPr>
          <w:rFonts w:ascii="Arial" w:hAnsi="Arial" w:cs="Arial"/>
        </w:rPr>
      </w:pPr>
      <w:r w:rsidRPr="00976D5D">
        <w:rPr>
          <w:rFonts w:ascii="Arial" w:hAnsi="Arial" w:cs="Arial"/>
          <w:snapToGrid w:val="0"/>
        </w:rPr>
        <w:t>VII. Cumplir las disposiciones federales y estatales en materia de protección civil;</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VIII. Expedir y aplicar los reglamentos relativos a la prestación de los servicios de agua potable, drenaje, alcantarillado, tratamiento y disposición de aguas residuales, conforme a las bases generales definidas por las leyes federales y estatales en la materia;</w:t>
      </w:r>
    </w:p>
    <w:p w:rsidR="00041EB5" w:rsidRPr="00976D5D" w:rsidRDefault="00041EB5" w:rsidP="00041EB5">
      <w:pPr>
        <w:jc w:val="both"/>
        <w:rPr>
          <w:snapToGrid w:val="0"/>
          <w:sz w:val="20"/>
          <w:szCs w:val="20"/>
        </w:rPr>
      </w:pPr>
    </w:p>
    <w:p w:rsidR="00041EB5" w:rsidRPr="00976D5D" w:rsidRDefault="00041EB5" w:rsidP="00041EB5">
      <w:pPr>
        <w:jc w:val="both"/>
        <w:rPr>
          <w:sz w:val="20"/>
          <w:szCs w:val="20"/>
        </w:rPr>
      </w:pPr>
      <w:r w:rsidRPr="00976D5D">
        <w:rPr>
          <w:snapToGrid w:val="0"/>
          <w:sz w:val="20"/>
          <w:szCs w:val="20"/>
        </w:rPr>
        <w:t>IX. Apoyar la educación, la cultura, la asistencia social y demás funciones públicas en la forma que las leyes y reglamentos de la materia dispongan;</w:t>
      </w:r>
    </w:p>
    <w:p w:rsidR="00041EB5" w:rsidRPr="00976D5D" w:rsidRDefault="00041EB5" w:rsidP="00041EB5">
      <w:pPr>
        <w:ind w:firstLine="705"/>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X. Atender la seguridad en todo el Municipio y dictar las medidas tendientes a mantener la seguridad, el orden público y la preservación de los derechos humanos;</w:t>
      </w:r>
    </w:p>
    <w:p w:rsidR="00041EB5" w:rsidRPr="00976D5D" w:rsidRDefault="00041EB5" w:rsidP="00041EB5">
      <w:pPr>
        <w:jc w:val="both"/>
        <w:rPr>
          <w:snapToGrid w:val="0"/>
          <w:sz w:val="20"/>
          <w:szCs w:val="20"/>
        </w:rPr>
      </w:pPr>
    </w:p>
    <w:p w:rsidR="00041EB5" w:rsidRPr="00976D5D" w:rsidRDefault="00041EB5" w:rsidP="00041EB5">
      <w:pPr>
        <w:jc w:val="both"/>
        <w:rPr>
          <w:sz w:val="20"/>
          <w:szCs w:val="20"/>
        </w:rPr>
      </w:pPr>
      <w:r w:rsidRPr="00976D5D">
        <w:rPr>
          <w:sz w:val="20"/>
          <w:szCs w:val="20"/>
        </w:rPr>
        <w:t>XI. Realizar la fiscalización y evaluación de la administración pública municipal, mediante los órganos, dependencias o entidades creadas para tal efecto;</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 xml:space="preserve">XII. Realizar las funciones del Registro Civil; </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 xml:space="preserve">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w:t>
      </w:r>
      <w:r w:rsidRPr="00976D5D">
        <w:rPr>
          <w:snapToGrid w:val="0"/>
          <w:sz w:val="20"/>
          <w:szCs w:val="20"/>
        </w:rPr>
        <w:lastRenderedPageBreak/>
        <w:t>Municipio, a la par de fomentar la transparencia y la participación ciudadana en la vigilancia del uso de los recursos públicos;</w:t>
      </w:r>
    </w:p>
    <w:p w:rsidR="00041EB5" w:rsidRPr="00976D5D" w:rsidRDefault="00041EB5" w:rsidP="00041EB5">
      <w:pPr>
        <w:jc w:val="both"/>
        <w:rPr>
          <w:spacing w:val="-3"/>
          <w:sz w:val="20"/>
          <w:szCs w:val="20"/>
        </w:rPr>
      </w:pPr>
    </w:p>
    <w:p w:rsidR="00041EB5" w:rsidRPr="00976D5D" w:rsidRDefault="00041EB5" w:rsidP="00041EB5">
      <w:pPr>
        <w:jc w:val="both"/>
        <w:rPr>
          <w:sz w:val="20"/>
          <w:szCs w:val="20"/>
        </w:rPr>
      </w:pPr>
      <w:r w:rsidRPr="00976D5D">
        <w:rPr>
          <w:spacing w:val="-3"/>
          <w:sz w:val="20"/>
          <w:szCs w:val="20"/>
        </w:rPr>
        <w:t xml:space="preserve">XIV.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 xml:space="preserve">XV. Ejercer en coordinación con </w:t>
      </w:r>
      <w:smartTag w:uri="urn:schemas-microsoft-com:office:smarttags" w:element="PersonName">
        <w:smartTagPr>
          <w:attr w:name="ProductID" w:val="la Federaci￳n"/>
        </w:smartTagPr>
        <w:r w:rsidRPr="00976D5D">
          <w:rPr>
            <w:snapToGrid w:val="0"/>
            <w:sz w:val="20"/>
            <w:szCs w:val="20"/>
          </w:rPr>
          <w:t>la Federación</w:t>
        </w:r>
      </w:smartTag>
      <w:r w:rsidRPr="00976D5D">
        <w:rPr>
          <w:snapToGrid w:val="0"/>
          <w:sz w:val="20"/>
          <w:szCs w:val="20"/>
        </w:rPr>
        <w:t xml:space="preserve"> y el Gobierno del Estado, en el ámbito de su competencia, sus atribuciones en materia de prevención, atención, sanción y erradicación de la violencia contra las mujeres; </w:t>
      </w:r>
    </w:p>
    <w:p w:rsidR="00041EB5" w:rsidRPr="00976D5D" w:rsidRDefault="00041EB5" w:rsidP="00041EB5">
      <w:pPr>
        <w:jc w:val="both"/>
        <w:rPr>
          <w:snapToGrid w:val="0"/>
          <w:sz w:val="20"/>
          <w:szCs w:val="20"/>
        </w:rPr>
      </w:pPr>
    </w:p>
    <w:p w:rsidR="00041EB5" w:rsidRPr="00976D5D" w:rsidRDefault="00041EB5" w:rsidP="00041EB5">
      <w:pPr>
        <w:jc w:val="both"/>
        <w:rPr>
          <w:snapToGrid w:val="0"/>
          <w:sz w:val="20"/>
          <w:szCs w:val="20"/>
        </w:rPr>
      </w:pPr>
      <w:r w:rsidRPr="00976D5D">
        <w:rPr>
          <w:snapToGrid w:val="0"/>
          <w:sz w:val="20"/>
          <w:szCs w:val="20"/>
        </w:rPr>
        <w:t xml:space="preserve">XVI. Solicitar a </w:t>
      </w:r>
      <w:smartTag w:uri="urn:schemas-microsoft-com:office:smarttags" w:element="PersonName">
        <w:smartTagPr>
          <w:attr w:name="ProductID" w:val="෌GroupByGUID탩⟣言la Declaraci￳n탓⟣踀&#10;la Concesi￳n&#10;탕⟣耀ǖ皧翈สဘ0탟⟣谀&#10;la Federaci￳nౌ탁⟣言&quot;la Instalaci￳n탋⟣谀&#10;LA HACIENDA Y탍⟣踀.la Propiedadi￳n⟣谀/&#10;la Propiedad.&#10;⟣谀8&#10;la Suspensi￳nn⟣蠀la Constituci￳n⟣言 la Informaci￳n⟣谀)&#10;La Manzanillal⟣蠀ᭀ/⌘Ϋᭀ/찺뒿䉌⦰螚䇆耀杰Փ⟣言la Contralor￭a⟣谀www.aciprensa.com౿⟣踀0la Rep￺blical⟣蠀㏈獼㍠獼氜獼氌獼Ꮐ՚Ā⟣耀Ū皧迨สင⟣蠀ᭀ/Փᭀ/藛㺶旹䳶㪠牥㶟辘෈⟣蠀'la Ley Org￡nica⟣言#la Integraci￳n⟣蠀la Constitución⟣谀-&#10;la Prevenci￳n&#10;ṻᗽጦࠌ앐Ց㱈ீ타ℝ타谀䡬ヶ娌ミ䠼ヶ᳈2땤ヘ엀ௌ뀐ℝ椌谀䡬ヶ娌ミ䠼ヶ᳈2땤ヘ옐ௌ牵ကℝ谀䡬ヶ娌ミ䠼ヶ᳈2땤ヘ왠ௌ௠ℝހ谀䡬ヶ娌ミ䠼ヶ᳈2땤ヘ우ௌ摡ℝݰ谀䡬ヶ娌ミ䠼ヶ᳈2땤ヘ윀ௌdℝ谀䡬ヶ娌ミ䠼ヶ᳈2땤ヘ읐ௌi琋ℝ쀀谀䡬ヶ娌ミ䠼ヶ᳈2땤ヘ잠ௌt타ℝ谀䡬ヶ娌ミ䠼ヶ᳈2땤ヘ쟰ௌ楲ఀℝ௳谀䡬ヶ娌ミ䠼ヶ᳈2땤ヘ졀ௌ௠ℝހ谀䡬ヶ娌ミ䠼ヶ᳈2땤ヘ좐ௌℝ耀谀䡬ヶ娌ミ䠼ヶ᳈2땤ヘ죠ௌ滳뀀ℝג谀䡬ヶ娌ミ䠼ヶ᳈2땤ヘ줰ௌ慩lℝ냀谀䡬ヶ娌ミ䠼ヶ᳈2땤ヘ즀ௌ敮ℝༀ谀䡬ヶ娌ミ䠼ヶ᳈2땤ヘ짐ௌa爋ℝ谀䡬ヶ娌ミ䠼ヶ᳈2땤ヘ쨠ௌ潤rℝ瘒谀䡬ヶ娌ミ䠼ヶ᳈2땤ヘ쩰ௌ楣污ℝༀ谀䡬ヶ娌ミ䠼ヶ᳈2땤ヘ쫀ௌ椀mℝ楦谀䡬ヶ娌ミ䠼ヶ᳈2땤ヘ쬐ௌ瀀ℝ*谀䡬ヶ娌ミ䠼ヶ᳈2땤ヘ쭠ௌ琓穩ℝ௠谀䡬ヶ娌ミ䠼ヶ᳈2땤ヘ쮰ௌ湡뀀ℝ谀䡬ヶ娌ミ䠼ヶ᳈2땤ヘ찀ௌe　ℝr谀䡬ヶ娌ミ䠼ヶ᳈2땤ヘ챐ௌ瑩ℝހ谀䡬ヶ娌ミ䠼ヶ᳈2땤ヘ철ௌఀ楧ℝ쀀谀䡬ヶ娌ミ䠼ヶ᳈2땤ヘ쳰ௌݰℝ牦谀䡬ヶ娌ミ䠼ヶ᳈2땤ヘ쵀ௌကௐℝ潵谀䡬ヶ娌ミ䠼ヶ᳈2땤ヘ춐ௌđ퀐ℝ敵谀䡬ヶ娌ミ䠼ヶ᳈2땤ヘ췠ௌ瘍穩ℝ谀䡬ヶ娌ミ䠼ヶ᳈2땤ヘ츰ௌ쀀ሀℝ谀䡬ヶ娌ミ䠼ヶ᳈2땤ヘ캀ௌࠀ竭ℝᘀ谀䡬ヶ娌ミ䠼ヶ᳈2땤ヘ컐ௌံℝ計谀䡬ヶ娌ミ䠼ヶ᳈2땤ヘ켠ௌג뀀ℝ谀䡬ヶ娌ミ䠼ヶ᳈2땤ヘ콰ௌℝ谀䡬ヶ娌ミ䠼ヶ᳈2땤ヘ쿀ௌℝ谀䡬ヶ娌ミ䠼ヶ᳈2땤ヘ퀐ௌℝ谀䡬ヶ娌ミ䠼ヶ᳈2땤ヘ큠ௌℝ谀䡬ヶ娌ミ䠼ヶ᳈2땤ヘ킰ௌℝ谀䡬ヶ娌ミ䠼ヶ᳈2땤ヘ턀ௌℝᅲ谀䡬ヶ娌ミ䠼ヶ᳈2땤ヘ텐ௌℝ谀䡬ヶ娌ミ䠼ヶ᳈2땤ヘ토ௌℝ谀䡬ヶ娌ミ䠼ヶ᳈2땤ヘ퇰ௌℝ谀䡬ヶ娌ミ䠼ヶ᳈2땤ヘ퉀ௌℝ谀䡬ヶ娌ミ䠼ヶ᳈2땤ヘ튐ௌℝ谀䡬ヶ娌ミ䠼ヶ᳈2땤ヘ틠ௌℝ谀䡬ヶ娌ミ䠼ヶ᳈2땤ヘ팰ௌℝ谀䡬ヶ娌ミ䠼ヶ᳈2땤ヘ펀ௌℝ谀䡬ヶ娌ミ䠼ヶ᳈2땤ヘ폐ௌℝ谀䡬ヶ娌ミ䠼ヶ᳈2땤ヘ퐠ௌℝ谀䡬ヶ娌ミ䠼ヶ᳈2땤ヘ푰ௌℝ谀䡬ヶ娌ミ䠼ヶ᳈2땤ヘ퓀ௌℝ谀䡬ヶ娌ミ䠼ヶ᳈2땤ヘ픐ௌℝ谀䡬ヶ娌ミ䠼ヶ᳈2땤ヘ할ௌℝ谀䡬ヶ娌ミ䠼ヶ᳈2땤ヘ햰ௌℝ谀䡬ヶ娌ミ䠼ヶ᳈2땤ヘ혀ௌℝ谀䡬ヶ娌ミ䠼ヶ᳈2땤ヘ홐ௌℝ谀䡬ヶ娌ミ䠼ヶ᳈2땤ヘ횠ௌℝ谀䡬ヶ娌ミ䠼ヶ᳈2땤ヘ훰ௌℝ谀䡬ヶ娌ミ䠼ヶ᳈2땤ヘ흀ௌℝ谀䡬ヶ娌ミ䠼ヶ᳈2땤ヘ힐ௌℝ谀䡬ヶ娌ミ䠼ヶ᳈2땤ヘퟠௌ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蠀&quot;ResponsabilidadesPúblicaℝ谀䡬ヶ娌ミ䠼ヶ᳈2땤ヘ䷀ூℝ谀䡬ヶ娌ミ䠼ヶ᳈2땤ヘ丸ூℝ谀䡬ヶ娌ミ䠼ヶ᳈2땤ヘ亰ூℝ谀䡬ヶ娌ミ䠼ヶ᳈2땤ヘ伨ூℝ谀䡬ヶ娌ミ䠼ヶ᳈2땤ヘ佸ூℝ谀䡬ヶ娌ミ䠼ヶ᳈2땤ヘ俈ூℝ谀䡬ヶ娌ミ䠼ヶ᳈2땤ヘ偀ூℝ谀䡬ヶ娌ミ䠼ヶ᳈2땤ヘ傐ூℝ谀䡬ヶ娌ミ䠼ヶ᳈2땤ヘ儈ூℝ谀䡬ヶ娌ミ䠼ヶ᳈2땤ヘ兘ூℝ谀䡬ヶ娌ミ䠼ヶ᳈2땤ヘ걈ௌ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ℝ谀䡬ヶ娌ミ䠼ヶ᳈2땤ヘ廊ௌℝ谀䡬ヶ娌ミ䠼ヶ᳈2땤ヘ兩ௌℝ谀䡬ヶ娌ミ䠼ヶ᳈2땤ヘ杻ௌℝ谀䡬ヶ娌ミ䠼ヶ᳈2땤ヘ礼ௌℝ谀䡬ヶ娌ミ䠼ヶ᳈2땤ヘ難ௌℝ谀䡬ヶ娌ミ䠼ヶ᳈2땤ヘ視ௌℝ谀䡬ヶ娌ミ䠼ヶ᳈2땤ヘ﬈ௌℝ谀䡬ヶ娌ミ䠼ヶ᳈2땤ヘﭘௌℝ谀䡬ヶ娌ミ䠼ヶ᳈2땤ヘﮨௌℝ谀䡬ヶ娌ミ䠼ヶ᳈2땤ヘﯸௌℝ谀䡬ヶ娌ミ䠼ヶ᳈2땤ヘﱈௌℝ谀䡬ヶ娌ミ䠼ヶ᳈2땤ヘﲘௌℝ谀䡬ヶ娌ミ䠼ヶ᳈2땤ヘﳨௌℝ谀䡬ヶ娌ミ䠼ヶ᳈2땤ヘﴸௌℝ谀䡬ヶ娌ミ䠼ヶ᳈2땤ヘﶈௌℝ谀䡬ヶ娌ミ䠼ヶ᳈2땤ヘ﷘ௌℝ谀䡬ヶ娌ミ䠼ヶ᳈2땤ヘ︨ௌℝ谀䡬ヶ娌ミ䠼ヶ᳈2땤ヘﹸௌℝ谀䡬ヶ娌ミ䠼ヶ᳈2땤ヘﻈௌℝ谀䡬ヶ娌ミ䠼ヶ᳈2땤ヘ８ௌℝ谀䡬ヶ娌ミ䠼ヶ᳈2땤ヘｨௌℝ谀䡬ヶ娌ミ䠼ヶ᳈2땤ヘﾸௌℝ谀䡬ヶ娌ミ䠼ヶ᳈2땤ヘ்ℝ谀䡬ヶ娌ミ䠼ヶ᳈2땤ヘX்ℝ谀䡬ヶ娌ミ䠼ヶ᳈2땤ヘ¨்ℝ谀䡬ヶ娌ミ䠼ヶ᳈2땤ヘø்ℝ谀䡬ヶ娌ミ䠼ヶ᳈2땤ヘň்ℝ谀䡬ヶ娌ミ䠼ヶ᳈2땤ヘƘ்ℝ谀䡬ヶ娌ミ䠼ヶ᳈2땤ヘǨ்ℝ谀䡬ヶ娌ミ䠼ヶ᳈2땤ヘȸ்ℝ谀䡬ヶ娌ミ䠼ヶ᳈2땤ヘʈ்ℝ谀䡬ヶ娌ミ䠼ヶ᳈2땤ヘ˘்ℝ谀䡬ヶ娌ミ䠼ヶ᳈2땤ヘ்̨ℝ谀䡬ヶ娌ミ䠼ヶ᳈2땤ヘ͸்ℝ谀䡬ヶ娌ミ䠼ヶ᳈2땤ヘψ்ℝ谀䡬ヶ娌ミ䠼ヶ᳈2땤ヘИ்ℝ谀䡬ヶ娌ミ䠼ヶ᳈2땤ヘѨ்ℝ谀䡬ヶ娌ミ䠼ヶ᳈2땤ヘҸ்ℝ谀䡬ヶ娌ミ䠼ヶ᳈2땤ヘԈ்ℝ谀䡬ヶ娌ミ䠼ヶ᳈2땤ヘ՘்ℝ谀䡬ヶ娌ミ䠼ヶ᳈2땤ヘ்֨ℝ谀䡬ヶ娌ミ䠼ヶ᳈2땤ヘ׸்ℝ谀䡬ヶ娌ミ䠼ヶ᳈2땤ヘو்ℝ谀䡬ヶ娌ミ䠼ヶ᳈2땤ヘژ்ℝ谀䡬ヶ娌ミ䠼ヶ᳈2땤ヘ்ۨℝ谀䡬ヶ娌ミ䠼ヶ᳈2땤ヘ்ܸℝ谀䡬ヶ娌ミ䠼ヶ᳈2땤ヘވ்ℝ谀䡬ヶ娌ミ䠼ヶ᳈2땤ヘߘ்ℝ谀䡬ヶ娌ミ䠼ヶ᳈2땤ヘࠨ்ℝ谀䡬ヶ娌ミ䠼ヶ᳈2땤ヘࡸ்ℝ谀䡬ヶ娌ミ䠼ヶ᳈2땤ヘࣈ்ℝ谀䡬ヶ娌ミ䠼ヶ᳈2땤ヘघ்ℝ谀䡬ヶ娌ミ䠼ヶ᳈2땤ヘ२்ℝ谀䡬ヶ娌ミ䠼ヶ᳈2땤ヘস்ℝ谀䡬ヶ娌ミ䠼ヶ᳈2땤ヘਈ்ℝ谀䡬ヶ娌ミ䠼ヶ᳈2땤ヘ੘்ℝ谀䡬ヶ娌ミ䠼ヶ᳈2땤ヘન்ℝ谀䡬ヶ娌ミ䠼ヶ᳈2땤ヘ૸்ℝ谀䡬ヶ娌ミ䠼ヶ᳈2땤ヘୈ்ℝ谀䡬ヶ娌ミ䠼ヶ᳈2땤ヘ஘்ℝ谀䡬ヶ娌ミ䠼ヶ᳈2땤ヘ௨்ℝ谀䡬ヶ娌ミ䠼ヶ᳈2땤ヘస்ℝ谀䡬ヶ娌ミ䠼ヶ᳈2땤ヘಈ்ℝ谀䡬ヶ娌ミ䠼ヶ᳈2땤ヘ೘்ℝ谀䡬ヶ娌ミ䠼ヶ᳈2땤ヘന்ℝ谀䡬ヶ娌ミ䠼ヶ᳈2땤ヘ൸்ℝ谀䡬ヶ娌ミ䠼ヶ᳈2땤ヘ෈்ℝ谀䡬ヶ娌ミ䠼ヶ᳈2땤ヘธ்ℝ谀䡬ヶ娌ミ䠼ヶ᳈2땤ヘ๨்ℝ谀䡬ヶ娌ミ䠼ヶ᳈2땤ヘ்ຸℝ谀䡬ヶ娌ミ䠼ヶ᳈2땤ヘ༈்ℝ谀䡬ヶ娌ミ䠼ヶ᳈2땤ヘམ்ℝ谀䡬ヶ娌ミ䠼ヶ᳈2땤ヘྨ்ℝ谀䡬ヶ娌ミ䠼ヶ᳈2땤ヘ࿸்ℝ谀䡬ヶ娌ミ䠼ヶ᳈2땤ヘ၈்ℝ谀䡬ヶ娌ミ䠼ヶ᳈2땤ヘ႘்ℝ谀䡬ヶ娌ミ䠼ヶ᳈2땤ヘშ்ℝ谀䡬ヶ娌ミ䠼ヶ᳈2땤ヘᄸ்ℝ谀䡬ヶ娌ミ䠼ヶ᳈2땤ヘᆈ்ℝ谀䡬ヶ娌ミ䠼ヶ᳈2땤ヘᇘ்ℝ谀䡬ヶ娌ミ䠼ヶ᳈2땤ヘረ்ℝ谀䡬ヶ娌ミ䠼ヶ᳈2땤ヘቸ்ℝ谀䡬ヶ娌ミ䠼ヶ᳈2땤ヘወ்ℝ谀䡬ヶ娌ミ䠼ヶ᳈2땤ヘጘ்ℝ谀䡬ヶ娌ミ䠼ヶ᳈2땤ヘ፨்ℝ谀䡬ヶ娌ミ䠼ヶ᳈2땤ヘᎸ்ℝ谀䡬ヶ娌ミ䠼ヶ᳈2땤ヘᐈ்ℝ谀䡬ヶ娌ミ䠼ヶ᳈2땤ヘᑘ்ℝ谀䡬ヶ娌ミ䠼ヶ᳈2땤ヘᒨ்ℝ谀䡬ヶ娌ミ䠼ヶ᳈2땤ヘᓸ்ℝ谀䡬ヶ娌ミ䠼ヶ᳈2땤ヘᕈ்ℝ谀䡬ヶ娌ミ䠼ヶ᳈2땤ヘᖘ்ℝ谀䡬ヶ娌ミ䠼ヶ᳈2땤ヘᗨ்ℝ谀䡬ヶ娌ミ䠼ヶ᳈2땤ヘᘸ்ℝ谀䡬ヶ娌ミ䠼ヶ᳈2땤ヘᚈ்ℝ谀䡬ヶ娌ミ䠼ヶ᳈2땤ヘᛘ்ℝ谀䡬ヶ娌ミ䠼ヶ᳈2땤ヘᜨ்ℝ谀䡬ヶ娌ミ䠼ヶ᳈2땤ヘ᝸்ℝ谀䡬ヶ娌ミ䠼ヶ᳈2땤ヘៈ்ℝ谀䡬ヶ娌ミ䠼ヶ᳈2땤ヘ᠘்ℝ谀䡬ヶ娌ミ䠼ヶ᳈2땤ヘᡨ்ℝ谀䡬ヶ娌ミ䠼ヶ᳈2땤ヘᢸ்ℝ谀䡬ヶ娌ミ䠼ヶ᳈2땤ヘᤈ்ℝ谀䡬ヶ娌ミ䠼ヶ᳈2땤ヘᥘ்ℝ谀䡬ヶ娌ミ䠼ヶ᳈2땤ヘᦨ்ℝ谀䡬ヶ娌ミ䠼ヶ᳈2땤ヘ᧸்ℝ谀䡬ヶ娌ミ䠼ヶ᳈2땤ヘᩈ்ℝ谀䡬ヶ娌ミ䠼ヶ᳈2땤ヘ᪘்ℝ谀䡬ヶ娌ミ䠼ヶ᳈2땤ヘ᫨்ℝ谀䡬ヶ娌ミ䠼ヶ᳈2땤ヘᬸ்ℝ谀䡬ヶ娌ミ䠼ヶ᳈2땤ヘᮈ்ℝ谀䡬ヶ娌ミ䠼ヶ᳈2땤ヘᯘ்ℝ谀䡬ヶ娌ミ䠼ヶ᳈2땤ヘᰨ்ℝ谀䡬ヶ娌ミ䠼ヶ᳈2땤ヘᱸ்ℝ谀䡬ヶ娌ミ䠼ヶ᳈2땤ヘ᳈்ℝ谀䡬ヶ娌ミ䠼ヶ᳈2땤ヘᴘ்ℝ谀䡬ヶ娌ミ䠼ヶ᳈2땤ヘᵨ்ℝ谀䡬ヶ娌ミ䠼ヶ᳈2땤ヘᶸ்ℝ谀䡬ヶ娌ミ䠼ヶ᳈2땤ヘḈ்ℝ谀䡬ヶ娌ミ䠼ヶ᳈2땤ヘṘ்ℝ谀䡬ヶ娌ミ䠼ヶ᳈2땤ヘẨ்ℝ谀䡬ヶ娌ミ䠼ヶ᳈2땤ヘỸ்ℝ谀䡬ヶ娌ミ䠼ヶ᳈2땤ヘὈ்ℝ谀䡬ヶ娌ミ䠼ヶ᳈2땤ヘᾘ்ℝ谀䡬ヶ娌ミ䠼ヶ᳈2땤ヘῨ்ℝ谀䡬ヶ娌ミ䠼ヶ᳈2땤ヘ‸்ℝ谀䡬ヶ娌ミ䠼ヶ᳈2땤ヘ₰்ℝ谀䡬ヶ娌ミ䠼ヶ᳈2땤ヘ℀்ℝ谀䡬ヶ娌ミ䠼ヶ᳈2땤ヘ⅐்ℝ谀䡬ヶ娌ミ䠼ヶ᳈2땤ヘ↠்ℝ谀䡬ヶ娌ミ䠼ヶ᳈2땤ヘ∘்ℝ谀䡬ヶ娌ミ䠼ヶ᳈2땤ヘ⊐்ℝ谀䡬ヶ娌ミ䠼ヶ᳈2땤ヘ⋠்ℝ谀䡬ヶ娌ミ䠼ヶ᳈2땤ヘ⌰்ℝ谀䡬ヶ娌ミ䠼ヶ᳈2땤ヘ⎨்ℝ谀䡬ヶ娌ミ䠼ヶ᳈2땤ヘ⏸்ℝ谀䡬ヶ娌ミ䠼ヶ᳈2땤ヘ⑈்ℝ谀䡬ヶ娌ミ䠼ヶ᳈2땤ヘ⒘்ℝ谀䡬ヶ娌ミ䠼ヶ᳈2땤ヘⓨ்ℝ谀䡬ヶ娌ミ䠼ヶ᳈2땤ヘ┸்ℝ谀䡬ヶ娌ミ䠼ヶ᳈2땤ヘ█்ℝ谀䡬ヶ娌ミ䠼ヶ᳈2땤ヘ䍰ூℝ谀䡬ヶ娌ミ䠼ヶ᳈2땤ヘ䏀ூℝ谀䡬ヶ娌ミ䠼ヶ᳈2땤ヘ䐐ூℝ谀䡬ヶ娌ミ䠼ヶ᳈2땤ヘ䑠ூℝ谀䡬ヶ娌ミ䠼ヶ᳈2땤ヘ䒰ூℝ谀䡬ヶ娌ミ䠼ヶ᳈2땤ヘ䔀ூℝ谀䡬ヶ娌ミ䠼ヶ᳈2땤ヘ䕐ூℝ谀䡬ヶ娌ミ䠼ヶ᳈2땤ヘ䗈ூℝ谀䡬ヶ娌ミ䠼ヶ᳈2땤ヘ䙀ூℝ谀䡬ヶ娌ミ䠼ヶ᳈2땤ヘ䚐ூℝ谀䡬ヶ娌ミ䠼ヶ᳈2땤ヘ䛠ூℝ谀䡬ヶ娌ミ䠼ヶ᳈2땤ヘ䜰ூℝ谀䡬ヶ娌ミ䠼ヶ᳈2땤ヘ䞀ூℝ谀䡬ヶ娌ミ䠼ヶ᳈2땤ヘ䟐ூℝ谀䡬ヶ娌ミ䠼ヶ᳈2땤ヘ䠠ூℝ谀䡬ヶ娌ミ䠼ヶ᳈2땤ヘ䡰ூℝ谀䡬ヶ娌ミ䠼ヶ᳈2땤ヘ䣨ூℝ谀䡬ヶ娌ミ䠼ヶ᳈2땤ヘ䥠ூℝ谀䡬ヶ娌ミ䠼ヶ᳈2땤ヘ䦰ூℝ谀䡬ヶ娌ミ䠼ヶ᳈2땤ヘ䨀ூℝ谀䡬ヶ娌ミ䠼ヶ᳈2땤ヘ䩸ூℝ谀䡬ヶ娌ミ䠼ヶ᳈2땤ヘ䫈ூℝ谀䡬ヶ娌ミ䠼ヶ᳈2땤ヘ䬘ூℝ谀䡬ヶ娌ミ䠼ヶ᳈2땤ヘ䭨ூℝ谀䡬ヶ娌ミ䠼ヶ᳈2땤ヘ䮸ூℝ谀䡬ヶ娌ミ䠼ヶ᳈2땤ヘ䰈ூℝ谀䡬ヶ娌ミ䠼ヶ᳈2땤ヘ䲀ூℝ谀䡬ヶ娌ミ䠼ヶ᳈2땤ヘ䳸ூℝ谀䡬ヶ娌ミ䠼ヶ᳈2땤ヘ䵰ூℝ谀䡬ヶ娌ミ䠼ヶ᳈2땤ヘ丐ூℝ谀䡬ヶ娌ミ䠼ヶ᳈2땤ヘ伀ூℝ谀䡬ヶ娌ミ䠼ヶ᳈2땤ヘ倘ூℝ谀䡬ヶ娌ミ䠼ヶ᳈2땤ヘ僠ூℝ谀䡬ヶ娌ミ䠼ヶ᳈2땤ヘ冨ூℝ谀䡬ヶ娌ミ䠼ヶ᳈2땤ヘ凸ூℝ蠀&quot;RESPONSABILIDADESPúblicaℝ谀䡬ヶ娌ミ䠼ヶ᳈2땤ヘ勨ூℝ谀䡬ヶ娌ミ䠼ヶ᳈2땤ヘ匸ூℝ谀䡬ヶ娌ミ䠼ヶ᳈2땤ヘ厈ூℝ谀䡬ヶ娌ミ䠼ヶ᳈2땤ヘ变ூℝ谀䡬ヶ娌ミ䠼ヶ᳈2땤ヘ吨ூℝ谀䡬ヶ娌ミ䠼ヶ᳈2땤ヘ呸ூℝ谀䡬ヶ娌ミ䠼ヶ᳈2땤ヘ哈ூℝ谀䡬ヶ娌ミ䠼ヶ᳈2땤ヘ唘ூℝ谀䡬ヶ娌ミ䠼ヶ᳈2땤ヘ啨ூℝ谀䡬ヶ娌ミ䠼ヶ᳈2땤ヘ喸ூℝ谀䡬ヶ娌ミ䠼ヶ᳈2땤ヘ嘰ூℝ谀䡬ヶ娌ミ䠼ヶ᳈2땤ヘ嚀ூℝ谀䡬ヶ娌ミ䠼ヶ᳈2땤ヘ囸ூℝ谀䡬ヶ娌ミ䠼ヶ᳈2땤ヘ坈ூℝ谀䡬ヶ娌ミ䠼ヶ᳈2땤ヘ垘ூℝ谀䡬ヶ娌ミ䠼ヶ᳈2땤ヘ埨ூℝ谀䡬ヶ娌ミ䠼ヶ᳈2땤ヘ堸ூℝ谀䡬ヶ娌ミ䠼ヶ᳈2땤ヘ墈ூℝ谀䡬ヶ娌ミ䠼ヶ᳈2땤ヘ壘ூℝ谀䡬ヶ娌ミ䠼ヶ᳈2땤ヘ夨ூℝ谀䡬ヶ娌ミ䠼ヶ᳈2땤ヘ奸ூℝ谀䡬ヶ娌ミ䠼ヶ᳈2땤ヘ姈ூℝ谀䡬ヶ娌ミ䠼ヶ᳈2땤ヘ娘ூℝ谀䡬ヶ娌ミ䠼ヶ᳈2땤ヘ婨ூℝ谀䡬ヶ娌ミ䠼ヶ᳈2땤ヘ媸ூℝ谀䡬ヶ娌ミ䠼ヶ᳈2땤ヘ嬈ூℝ谀䡬ヶ娌ミ䠼ヶ᳈2땤ヘ存ூℝ谀䡬ヶ娌ミ䠼ヶ᳈2땤ヘ宨ூℝ谀䡬ヶ娌ミ䠼ヶ᳈2땤ヘ寸ூℝ谀䡬ヶ娌ミ䠼ヶ᳈2땤ヘ屈ூℝ谀䡬ヶ娌ミ䠼ヶ᳈2땤ヘ岘ூℝ谀䡬ヶ娌ミ䠼ヶ᳈2땤ヘ峨ூℝ谀䡬ヶ娌ミ䠼ヶ᳈2땤ヘ崸ூℝ谀䡬ヶ娌ミ䠼ヶ᳈2땤ヘ嶈ூℝ谀䡬ヶ娌ミ䠼ヶ᳈2땤ヘ巘ூℝ谀䡬ヶ娌ミ䠼ヶ᳈2땤ヘ帨ூℝ谀䡬ヶ娌ミ䠼ヶ᳈2땤ヘ幸ூℝ谀䡬ヶ娌ミ䠼ヶ᳈2땤ヘ廈ூℝ谀䡬ヶ娌ミ䠼ヶ᳈2땤ヘ弘ூℝ谀䡬ヶ娌ミ䠼ヶ᳈2땤ヘ彨ூℝ谀䡬ヶ娌ミ䠼ヶ᳈2땤ヘ徸ூℝ谀䡬ヶ娌ミ䠼ヶ᳈2땤ヘ怈ூℝ谀䡬ヶ娌ミ䠼ヶ᳈2땤ヘ恘ூℝ谀䡬ヶ娌ミ䠼ヶ᳈2땤ヘ您ூℝ谀䡬ヶ娌ミ䠼ヶ᳈2땤ヘ惸ூℝ谀䡬ヶ娌ミ䠼ヶ᳈2땤ヘ慈ூℝ谀䡬ヶ娌ミ䠼ヶ᳈2땤ヘ憘ூℝ谀䡬ヶ娌ミ䠼ヶ᳈2땤ヘ懨ூℝ谀䡬ヶ娌ミ䠼ヶ᳈2땤ヘ戸ூℝ谀䡬ヶ娌ミ䠼ヶ᳈2땤ヘ抈ூℝ谀䡬ヶ娌ミ䠼ヶ᳈2땤ヘ拘ூℝ谀䡬ヶ娌ミ䠼ヶ᳈2땤ヘ挨ூℝ谀䡬ヶ娌ミ䠼ヶ᳈2땤ヘ捸ூℝ谀䡬ヶ娌ミ䠼ヶ᳈2땤ヘ揈ூℝ谀䡬ヶ娌ミ䠼ヶ᳈2땤ヘ搘ூℝ谀䡬ヶ娌ミ䠼ヶ᳈2땤ヘ摨ூℝ谀䡬ヶ娌ミ䠼ヶ᳈2땤ヘ撸ூℝ谀䡬ヶ娌ミ䠼ヶ᳈2땤ヘ攈ூℝ谀䡬ヶ娌ミ䠼ヶ᳈2땤ヘ敘ூℝ谀䡬ヶ娌ミ䠼ヶ᳈2땤ヘ斨ூℝ谀䡬ヶ娌ミ䠼ヶ᳈2땤ヘ旸ூℝ谀䡬ヶ娌ミ䠼ヶ᳈2땤ヘ晈ூℝ谀䡬ヶ娌ミ䠼ヶ᳈2땤ヘ暘ூℝ谀䡬ヶ娌ミ䠼ヶ᳈2땤ヘ曨ூℝ谀䡬ヶ娌ミ䠼ヶ᳈2땤ヘ朸ூℝ谀䡬ヶ娌ミ䠼ヶ᳈2땤ヘ枈ூℝ谀䡬ヶ娌ミ䠼ヶ᳈2땤ヘ柘ூℝ谀䡬ヶ娌ミ䠼ヶ᳈2땤ヘ栨ூℝ谀䡬ヶ娌ミ䠼ヶ᳈2땤ヘ桸ூℝ谀䡬ヶ娌ミ䠼ヶ᳈2땤ヘ棈ூℝ谀䡬ヶ娌ミ䠼ヶ᳈2땤ヘ椘ூℝ谀䡬ヶ娌ミ䠼ヶ᳈2땤ヘ楨ூℝ谀䡬ヶ娌ミ䠼ヶ᳈2땤ヘ榸ூℝ谀䡬ヶ娌ミ䠼ヶ᳈2땤ヘ樈ூℝ谀䡬ヶ娌ミ䠼ヶ᳈2땤ヘ橘ூℝ谀䡬ヶ娌ミ䠼ヶ᳈2땤ヘ檨ூℝ谀䡬ヶ娌ミ䠼ヶ᳈2땤ヘ櫸ூℝ谀䡬ヶ娌ミ䠼ヶ᳈2땤ヘ歈ூℝ谀䡬ヶ娌ミ䠼ヶ᳈2땤ヘ殘ூℝ谀䡬ヶ娌ミ䠼ヶ᳈2땤ヘ毨ூℝ谀䡬ヶ娌ミ䠼ヶ᳈2땤ヘ永ூℝ谀䡬ヶ娌ミ䠼ヶ᳈2땤ヘ沈ூℝ谀䡬ヶ娌ミ䠼ヶ᳈2땤ヘ泘ூℝ谀䡬ヶ娌ミ䠼ヶ᳈2땤ヘ洨ூℝ谀䡬ヶ娌ミ䠼ヶ᳈2땤ヘ浸ூℝ谀䡬ヶ娌ミ䠼ヶ᳈2땤ヘ淈ூℝ谀䡬ヶ娌ミ䠼ヶ᳈2땤ヘ渘ூℝ谀䡬ヶ娌ミ䠼ヶ᳈2땤ヘ湨ூℝ谀䡬ヶ娌ミ䠼ヶ᳈2땤ヘ溸ூℝ谀䡬ヶ娌ミ䠼ヶ᳈2땤ヘ漈ூℝ谀䡬ヶ娌ミ䠼ヶ᳈2땤ヘ潘ூℝ谀䡬ヶ娌ミ䠼ヶ᳈2땤ヘ澨ூℝ谀䡬ヶ娌ミ䠼ヶ᳈2땤ヘ濸ூℝ谀䡬ヶ娌ミ䠼ヶ᳈2땤ヘ灈ூℝ谀䡬ヶ娌ミ䠼ヶ᳈2땤ヘ炘ூℝ谀䡬ヶ娌ミ䠼ヶ᳈2땤ヘ烨ூℝ谀䡬ヶ娌ミ䠼ヶ᳈2땤ヘ焸ூℝ谀䡬ヶ娌ミ䠼ヶ᳈2땤ヘ熈ூℝ谀䡬ヶ娌ミ䠼ヶ᳈2땤ヘ燘ூℝ谀䡬ヶ娌ミ䠼ヶ᳈2땤ヘ爨ூℝ谀䡬ヶ娌ミ䠼ヶ᳈2땤ヘ牸ூℝ谀䡬ヶ娌ミ䠼ヶ᳈2땤ヘ狈ூℝ谀䡬ヶ娌ミ䠼ヶ᳈2땤ヘ猘ூℝ谀䡬ヶ娌ミ䠼ヶ᳈2땤ヘ獨ூℝ谀䡬ヶ娌ミ䠼ヶ᳈2땤ヘ玸ூℝ谀䡬ヶ娌ミ䠼ヶ᳈2땤ヘ琈ூℝ谀䡬ヶ娌ミ䠼ヶ᳈2땤ヘ瑘ூℝ谀䡬ヶ娌ミ䠼ヶ᳈2땤ヘ璨ூℝ谀䡬ヶ娌ミ䠼ヶ᳈2땤ヘ瓸ூℝ谀䡬ヶ娌ミ䠼ヶ᳈2땤ヘ畈ூℝ谀䡬ヶ娌ミ䠼ヶ᳈2땤ヘ疘ூℝ谀䡬ヶ娌ミ䠼ヶ᳈2땤ヘ痨ூℝ谀䡬ヶ娌ミ䠼ヶ᳈2땤ヘ瘸ூℝ谀䡬ヶ娌ミ䠼ヶ᳈2땤ヘ皈ூℝ谀䡬ヶ娌ミ䠼ヶ᳈2땤ヘ盘ூℝ谀䡬ヶ娌ミ䠼ヶ᳈2땤ヘ眨ூℝ谀䡬ヶ娌ミ䠼ヶ᳈2땤ヘ睸ூℝ谀䡬ヶ娌ミ䠼ヶ᳈2땤ヘ矈ூℝ谀䡬ヶ娌ミ䠼ヶ᳈2땤ヘ砘ூℝ谀䡬ヶ娌ミ䠼ヶ᳈2땤ヘ硨ூℝ谀䡬ヶ娌ミ䠼ヶ᳈2땤ヘ碸ூℝ谀䡬ヶ娌ミ䠼ヶ᳈2땤ヘ礈ூℝ谀䡬ヶ娌ミ䠼ヶ᳈2땤ヘ祘ூℝ谀䡬ヶ娌ミ䠼ヶ᳈2땤ヘ禨ூℝ谀䡬ヶ娌ミ䠼ヶ᳈2땤ヘ秸ூℝ谀䡬ヶ娌ミ䠼ヶ᳈2땤ヘ穈ூℝ谀䡬ヶ娌ミ䠼ヶ᳈2땤ヘ窘ூℝ谀䡬ヶ娌ミ䠼ヶ᳈2땤ヘ竨ூℝ谀䡬ヶ娌ミ䠼ヶ᳈2땤ヘ笸ூℝ谀䡬ヶ娌ミ䠼ヶ᳈2땤ヘ箈ூℝ谀䡬ヶ娌ミ䠼ヶ᳈2땤ヘ篘ூℝ谀䡬ヶ娌ミ䠼ヶ᳈2땤ヘ簨ூℝ谀䡬ヶ娌ミ䠼ヶ᳈2땤ヘ籸ூℝ谀䡬ヶ娌ミ䠼ヶ᳈2땤ヘ糈ூℝ谀䡬ヶ娌ミ䠼ヶ᳈2땤ヘ紘ூℝ谀䡬ヶ娌ミ䠼ヶ᳈2땤ヘ絨ூℝ谀䡬ヶ娌ミ䠼ヶ᳈2땤ヘ綸ூℝ谀䡬ヶ娌ミ䠼ヶ᳈2땤ヘ縈ூℝ谀䡬ヶ娌ミ䠼ヶ᳈2땤ヘ繘ூℝ谀䡬ヶ娌ミ䠼ヶ᳈2땤ヘ纨ூℝ谀䡬ヶ娌ミ䠼ヶ᳈2땤ヘ绸ூℝ谀䡬ヶ娌ミ䠼ヶ᳈2땤ヘ罈ூℝ谀䡬ヶ娌ミ䠼ヶ᳈2땤ヘ羘ூℝ谀䡬ヶ娌ミ䠼ヶ᳈2땤ヘ翨ூℝ谀䡬ヶ娌ミ䠼ヶ᳈2땤ヘ耸ூℝ谀䡬ヶ娌ミ䠼ヶ᳈2땤ヘ肈ூℝ谀䡬ヶ娌ミ䠼ヶ᳈2땤ヘ胘ூℝ谀䡬ヶ娌ミ䠼ヶ᳈2땤ヘ脨ூℝ谀䡬ヶ娌ミ䠼ヶ᳈2땤ヘ腸ூℝ谀䡬ヶ娌ミ䠼ヶ᳈2땤ヘ臈ூℝ谀䡬ヶ娌ミ䠼ヶ᳈2땤ヘ舘ூℝ谀䡬ヶ娌ミ䠼ヶ᳈2땤ヘ艨ூℝ谀䡬ヶ娌ミ䠼ヶ᳈2땤ヘ芸ூℝ谀䡬ヶ娌ミ䠼ヶ᳈2땤ヘ茈ூℝ谀䡬ヶ娌ミ䠼ヶ᳈2땤ヘ荘ூℝ谀䡬ヶ娌ミ䠼ヶ᳈2땤ヘ莨ூℝ谀䡬ヶ娌ミ䠼ヶ᳈2땤ヘ菸ூℝ谀䡬ヶ娌ミ䠼ヶ᳈2땤ヘ葈ூℝ谀䡬ヶ娌ミ䠼ヶ᳈2땤ヘ蒘ூℝ谀䡬ヶ娌ミ䠼ヶ᳈2땤ヘ蔐ூℝ谀䡬ヶ娌ミ䠼ヶ᳈2땤ヘ蕠ூℝ谀䡬ヶ娌ミ䠼ヶ᳈2땤ヘ薰ூℝ谀䡬ヶ娌ミ䠼ヶ᳈2땤ヘ蘀ூℝ谀䡬ヶ娌ミ䠼ヶ᳈2땤ヘ虸ூℝ谀䡬ヶ娌ミ䠼ヶ᳈2땤ヘ蛰ூℝ谀䡬ヶ娌ミ䠼ヶ᳈2땤ヘ蝀ூℝ谀䡬ヶ娌ミ䠼ヶ᳈2땤ヘ螐ூℝ谀䡬ヶ娌ミ䠼ヶ᳈2땤ヘ蠈ூℝ谀䡬ヶ娌ミ䠼ヶ᳈2땤ヘ衘ூℝ谀䡬ヶ娌ミ䠼ヶ᳈2땤ヘ袨ூℝ谀䡬ヶ娌ミ䠼ヶ᳈2땤ヘ裸ூℝ谀䡬ヶ娌ミ䠼ヶ᳈2땤ヘ襈ூℝ谀䡬ヶ娌ミ䠼ヶ᳈2땤ヘ覘ூℝ谀䡬ヶ娌ミ䠼ヶ᳈2땤ヘ觨ூℝ谀䡬ヶ娌ミ䠼ヶ᳈2땤ヘ訸ூℝ谀䡬ヶ娌ミ䠼ヶ᳈2땤ヘ誈ூℝ谀䡬ヶ娌ミ䠼ヶ᳈2땤ヘ諘ூℝ谀䡬ヶ娌ミ䠼ヶ᳈2땤ヘ謨ூ"/>
        </w:smartTagPr>
        <w:r w:rsidRPr="00976D5D">
          <w:rPr>
            <w:snapToGrid w:val="0"/>
            <w:sz w:val="20"/>
            <w:szCs w:val="20"/>
          </w:rPr>
          <w:t>la Secretaría</w:t>
        </w:r>
      </w:smartTag>
      <w:r w:rsidRPr="00976D5D">
        <w:rPr>
          <w:snapToGrid w:val="0"/>
          <w:sz w:val="20"/>
          <w:szCs w:val="20"/>
        </w:rPr>
        <w:t xml:space="preserve"> de Cultura previo a emitir licencia de construcción relativa a inmuebles inventariados como Patrimonio Cultural,  el dictamen técnico en los términos de </w:t>
      </w:r>
      <w:smartTag w:uri="urn:schemas-microsoft-com:office:smarttags" w:element="PersonName">
        <w:smartTagPr>
          <w:attr w:name="ProductID" w:val="la Ley"/>
        </w:smartTagPr>
        <w:r w:rsidRPr="00976D5D">
          <w:rPr>
            <w:snapToGrid w:val="0"/>
            <w:sz w:val="20"/>
            <w:szCs w:val="20"/>
          </w:rPr>
          <w:t>la Ley</w:t>
        </w:r>
      </w:smartTag>
      <w:r w:rsidRPr="00976D5D">
        <w:rPr>
          <w:snapToGrid w:val="0"/>
          <w:sz w:val="20"/>
          <w:szCs w:val="20"/>
        </w:rPr>
        <w:t xml:space="preserve"> de Patrimonio Cultural del Estado de Jalisco y sus Municipios; y</w:t>
      </w:r>
    </w:p>
    <w:p w:rsidR="00041EB5" w:rsidRPr="002C3A48" w:rsidRDefault="00041EB5" w:rsidP="00041EB5">
      <w:pPr>
        <w:jc w:val="both"/>
        <w:rPr>
          <w:snapToGrid w:val="0"/>
          <w:sz w:val="20"/>
          <w:szCs w:val="20"/>
        </w:rPr>
      </w:pPr>
    </w:p>
    <w:p w:rsidR="00041EB5" w:rsidRPr="002C3A48" w:rsidRDefault="00041EB5" w:rsidP="00041EB5">
      <w:pPr>
        <w:jc w:val="both"/>
        <w:rPr>
          <w:sz w:val="20"/>
          <w:szCs w:val="20"/>
        </w:rPr>
      </w:pPr>
      <w:r w:rsidRPr="002C3A48">
        <w:rPr>
          <w:sz w:val="20"/>
          <w:szCs w:val="20"/>
        </w:rPr>
        <w:t>XVII. Las demás que les establezcan la Constitución Política de los Estados Unidos Mexicanos, Constitución Política del Estado de Jalisco, y demás leyes, tanto federales como locales, y reglamentos.</w:t>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Pr="002D4033" w:rsidRDefault="00041EB5" w:rsidP="00041EB5">
      <w:pPr>
        <w:jc w:val="both"/>
        <w:rPr>
          <w:snapToGrid w:val="0"/>
          <w:sz w:val="20"/>
          <w:szCs w:val="20"/>
        </w:rPr>
      </w:pPr>
      <w:r w:rsidRPr="002D4033">
        <w:rPr>
          <w:b/>
          <w:bCs/>
          <w:snapToGrid w:val="0"/>
          <w:sz w:val="20"/>
          <w:szCs w:val="20"/>
        </w:rPr>
        <w:t>Artículo 89</w:t>
      </w:r>
      <w:r w:rsidRPr="002D4033">
        <w:rPr>
          <w:snapToGrid w:val="0"/>
          <w:sz w:val="20"/>
          <w:szCs w:val="20"/>
        </w:rPr>
        <w:t>. Los municipios a través de sus Ayuntamientos, pueden celebrar contratos de fideicomiso público, observando las disposiciones aplicables de las leyes especiales y los requisitos que señala el artículo anterior respecto de la transmisión de dominio, a excepción de la subasta pública.</w:t>
      </w:r>
    </w:p>
    <w:p w:rsidR="00041EB5" w:rsidRPr="002D4033" w:rsidRDefault="00041EB5" w:rsidP="00041EB5">
      <w:pPr>
        <w:ind w:left="708"/>
        <w:jc w:val="both"/>
        <w:rPr>
          <w:snapToGrid w:val="0"/>
          <w:sz w:val="20"/>
          <w:szCs w:val="20"/>
        </w:rPr>
      </w:pPr>
    </w:p>
    <w:p w:rsidR="00041EB5" w:rsidRPr="002D4033" w:rsidRDefault="00041EB5" w:rsidP="00041EB5">
      <w:pPr>
        <w:jc w:val="both"/>
        <w:rPr>
          <w:snapToGrid w:val="0"/>
          <w:sz w:val="20"/>
          <w:szCs w:val="20"/>
        </w:rPr>
      </w:pPr>
      <w:r w:rsidRPr="002D4033">
        <w:rPr>
          <w:b/>
          <w:bCs/>
          <w:snapToGrid w:val="0"/>
          <w:sz w:val="20"/>
          <w:szCs w:val="20"/>
        </w:rPr>
        <w:t>Artículo 90</w:t>
      </w:r>
      <w:r w:rsidRPr="002D4033">
        <w:rPr>
          <w:snapToGrid w:val="0"/>
          <w:sz w:val="20"/>
          <w:szCs w:val="20"/>
        </w:rPr>
        <w:t>. Para adquirir bienes inmuebles a título oneroso, es necesaria la aprobación que haga el Ayuntamiento del dictamen que le presenten las comisiones respectivas, y que cumpla con los siguientes requisitos:</w:t>
      </w:r>
    </w:p>
    <w:p w:rsidR="00041EB5" w:rsidRPr="002D4033" w:rsidRDefault="00041EB5" w:rsidP="00041EB5">
      <w:pPr>
        <w:jc w:val="both"/>
        <w:rPr>
          <w:snapToGrid w:val="0"/>
          <w:sz w:val="20"/>
          <w:szCs w:val="20"/>
        </w:rPr>
      </w:pPr>
    </w:p>
    <w:p w:rsidR="00041EB5" w:rsidRPr="002D4033" w:rsidRDefault="00041EB5" w:rsidP="00041EB5">
      <w:pPr>
        <w:jc w:val="both"/>
        <w:rPr>
          <w:snapToGrid w:val="0"/>
          <w:sz w:val="20"/>
          <w:szCs w:val="20"/>
        </w:rPr>
      </w:pPr>
      <w:r w:rsidRPr="002D4033">
        <w:rPr>
          <w:snapToGrid w:val="0"/>
          <w:sz w:val="20"/>
          <w:szCs w:val="20"/>
        </w:rPr>
        <w:t>I. Que el inmueble que se pretenda adquirir sea para la construcción de una obra de infraestructura o equipamiento necesaria; que contribuya o sea necesario para la prestación adecuada de un servicio público; o esté incluido en una declaratoria de reserva y proceda su adquisición para integrarlo a las reservas territoriales;</w:t>
      </w:r>
    </w:p>
    <w:p w:rsidR="00041EB5" w:rsidRPr="002D4033" w:rsidRDefault="00041EB5" w:rsidP="00041EB5">
      <w:pPr>
        <w:jc w:val="both"/>
        <w:rPr>
          <w:snapToGrid w:val="0"/>
          <w:sz w:val="20"/>
          <w:szCs w:val="20"/>
        </w:rPr>
      </w:pPr>
    </w:p>
    <w:p w:rsidR="00041EB5" w:rsidRPr="002D4033" w:rsidRDefault="00041EB5" w:rsidP="00041EB5">
      <w:pPr>
        <w:jc w:val="both"/>
        <w:rPr>
          <w:snapToGrid w:val="0"/>
          <w:sz w:val="20"/>
          <w:szCs w:val="20"/>
        </w:rPr>
      </w:pPr>
      <w:r w:rsidRPr="002D4033">
        <w:rPr>
          <w:snapToGrid w:val="0"/>
          <w:sz w:val="20"/>
          <w:szCs w:val="20"/>
        </w:rPr>
        <w:t xml:space="preserve">II. Que el vendedor acredite la propiedad del inmueble con el título correspondiente, inscrito en el Registro Público de </w:t>
      </w:r>
      <w:smartTag w:uri="urn:schemas-microsoft-com:office:smarttags" w:element="PersonName">
        <w:smartTagPr>
          <w:attr w:name="ProductID" w:val="la Propiedad"/>
        </w:smartTagPr>
        <w:r w:rsidRPr="002D4033">
          <w:rPr>
            <w:snapToGrid w:val="0"/>
            <w:sz w:val="20"/>
            <w:szCs w:val="20"/>
          </w:rPr>
          <w:t>la Propiedad</w:t>
        </w:r>
      </w:smartTag>
      <w:r w:rsidRPr="002D4033">
        <w:rPr>
          <w:snapToGrid w:val="0"/>
          <w:sz w:val="20"/>
          <w:szCs w:val="20"/>
        </w:rPr>
        <w:t xml:space="preserve"> y el precio pactado no exceda del valor que le asigne el avalúo comercial que practique un perito valuador; y </w:t>
      </w:r>
    </w:p>
    <w:p w:rsidR="00041EB5" w:rsidRPr="002D4033" w:rsidRDefault="00041EB5" w:rsidP="00041EB5">
      <w:pPr>
        <w:jc w:val="both"/>
        <w:rPr>
          <w:snapToGrid w:val="0"/>
          <w:sz w:val="20"/>
          <w:szCs w:val="20"/>
        </w:rPr>
      </w:pPr>
    </w:p>
    <w:p w:rsidR="00041EB5" w:rsidRPr="002D4033" w:rsidRDefault="00041EB5" w:rsidP="00041EB5">
      <w:pPr>
        <w:jc w:val="both"/>
        <w:rPr>
          <w:snapToGrid w:val="0"/>
          <w:sz w:val="20"/>
          <w:szCs w:val="20"/>
        </w:rPr>
      </w:pPr>
      <w:r w:rsidRPr="002D4033">
        <w:rPr>
          <w:snapToGrid w:val="0"/>
          <w:sz w:val="20"/>
          <w:szCs w:val="20"/>
        </w:rPr>
        <w:t>III. Que en la adquisición de terrenos de propiedad de los núcleos de población ejidal y comunal, se acredite el cumplimiento de los requisitos y acuerdos establecidos en la legislación agraria.</w:t>
      </w:r>
    </w:p>
    <w:p w:rsidR="00041EB5" w:rsidRPr="002D4033" w:rsidRDefault="00041EB5" w:rsidP="00041EB5">
      <w:pPr>
        <w:ind w:firstLine="708"/>
        <w:jc w:val="both"/>
        <w:rPr>
          <w:snapToGrid w:val="0"/>
          <w:sz w:val="20"/>
          <w:szCs w:val="20"/>
        </w:rPr>
      </w:pPr>
    </w:p>
    <w:p w:rsidR="00041EB5" w:rsidRPr="002D4033" w:rsidRDefault="00041EB5" w:rsidP="00041EB5">
      <w:pPr>
        <w:jc w:val="both"/>
        <w:rPr>
          <w:snapToGrid w:val="0"/>
          <w:sz w:val="20"/>
          <w:szCs w:val="20"/>
        </w:rPr>
      </w:pPr>
      <w:r w:rsidRPr="002D4033">
        <w:rPr>
          <w:snapToGrid w:val="0"/>
          <w:sz w:val="20"/>
          <w:szCs w:val="20"/>
        </w:rPr>
        <w:t>De no cumplirse lo establecido en las fracciones que anteceden, la compra será nula de pleno derecho y serán sujetos de responsabilidad quienes la hubiesen autorizado.</w:t>
      </w:r>
    </w:p>
    <w:p w:rsidR="00041EB5" w:rsidRPr="002D4033" w:rsidRDefault="00041EB5" w:rsidP="00041EB5">
      <w:pPr>
        <w:jc w:val="both"/>
        <w:rPr>
          <w:snapToGrid w:val="0"/>
          <w:sz w:val="20"/>
          <w:szCs w:val="20"/>
        </w:rPr>
      </w:pPr>
    </w:p>
    <w:p w:rsidR="00041EB5" w:rsidRPr="002D4033" w:rsidRDefault="00041EB5" w:rsidP="00041EB5">
      <w:pPr>
        <w:pStyle w:val="Textoindependiente3"/>
        <w:rPr>
          <w:b/>
          <w:bCs/>
          <w:sz w:val="20"/>
          <w:szCs w:val="20"/>
        </w:rPr>
      </w:pPr>
      <w:r w:rsidRPr="002D4033">
        <w:rPr>
          <w:sz w:val="20"/>
          <w:szCs w:val="20"/>
        </w:rPr>
        <w:t>Artículo 91</w:t>
      </w:r>
      <w:r w:rsidRPr="002D4033">
        <w:rPr>
          <w:b/>
          <w:bCs/>
          <w:sz w:val="20"/>
          <w:szCs w:val="20"/>
        </w:rPr>
        <w:t>. Dentro de los treinta días posteriores a la adquisición o transmisión de dominio de cualquier inmueble, el Ayuntamiento debe comunicarlo al Congreso del Estado y remitir copia certificada del dictamen, así como del acta de sesión del Ayuntamiento en la que se aprobó la adquisición, para los efectos de la revisión y fiscalización de la cuenta pública respectiva.</w:t>
      </w: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ES_tradnl"/>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ES_tradnl"/>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ES_tradnl"/>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ES_tradnl"/>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ES_tradnl"/>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lang w:val="es-ES_tradnl"/>
        </w:rPr>
      </w:pPr>
    </w:p>
    <w:p w:rsidR="00041EB5" w:rsidRPr="002D4033" w:rsidRDefault="00041EB5" w:rsidP="00041EB5">
      <w:pPr>
        <w:pStyle w:val="Ttulo7"/>
        <w:tabs>
          <w:tab w:val="left" w:pos="709"/>
        </w:tabs>
        <w:jc w:val="center"/>
        <w:rPr>
          <w:snapToGrid w:val="0"/>
        </w:rPr>
      </w:pPr>
      <w:r>
        <w:rPr>
          <w:snapToGrid w:val="0"/>
        </w:rPr>
        <w:t>C</w:t>
      </w:r>
      <w:r w:rsidRPr="002D4033">
        <w:rPr>
          <w:snapToGrid w:val="0"/>
        </w:rPr>
        <w:t>APÍTULO II</w:t>
      </w:r>
    </w:p>
    <w:p w:rsidR="00041EB5" w:rsidRPr="002D4033" w:rsidRDefault="00041EB5" w:rsidP="00041EB5">
      <w:pPr>
        <w:tabs>
          <w:tab w:val="left" w:pos="709"/>
        </w:tabs>
        <w:jc w:val="center"/>
        <w:rPr>
          <w:b/>
          <w:bCs/>
          <w:snapToGrid w:val="0"/>
          <w:sz w:val="20"/>
          <w:szCs w:val="20"/>
        </w:rPr>
      </w:pPr>
      <w:r w:rsidRPr="002D4033">
        <w:rPr>
          <w:b/>
          <w:bCs/>
          <w:snapToGrid w:val="0"/>
          <w:sz w:val="20"/>
          <w:szCs w:val="20"/>
        </w:rPr>
        <w:t>De las Responsabilidades</w:t>
      </w:r>
    </w:p>
    <w:p w:rsidR="00041EB5" w:rsidRPr="002D4033" w:rsidRDefault="00041EB5" w:rsidP="00041EB5">
      <w:pPr>
        <w:tabs>
          <w:tab w:val="left" w:pos="709"/>
        </w:tabs>
        <w:jc w:val="center"/>
        <w:rPr>
          <w:snapToGrid w:val="0"/>
          <w:sz w:val="20"/>
          <w:szCs w:val="20"/>
        </w:rPr>
      </w:pPr>
    </w:p>
    <w:p w:rsidR="00041EB5" w:rsidRPr="002D4033" w:rsidRDefault="00041EB5" w:rsidP="00041EB5">
      <w:pPr>
        <w:tabs>
          <w:tab w:val="left" w:pos="709"/>
        </w:tabs>
        <w:jc w:val="both"/>
        <w:rPr>
          <w:snapToGrid w:val="0"/>
          <w:sz w:val="20"/>
          <w:szCs w:val="20"/>
        </w:rPr>
      </w:pPr>
      <w:r w:rsidRPr="002D4033">
        <w:rPr>
          <w:b/>
          <w:bCs/>
          <w:snapToGrid w:val="0"/>
          <w:sz w:val="20"/>
          <w:szCs w:val="20"/>
        </w:rPr>
        <w:t>Artículo 141</w:t>
      </w:r>
      <w:r w:rsidRPr="002D4033">
        <w:rPr>
          <w:snapToGrid w:val="0"/>
          <w:sz w:val="20"/>
          <w:szCs w:val="20"/>
        </w:rPr>
        <w:t>. Para los efectos de las responsabilidades a que alude este capítulo, se consideran como servidores públicos municipales a los miembros del Ayuntamiento o del Concejo Municipal en su caso, y en general a toda persona que desempeñe un cargo o comisión, de cualquier naturaleza en la administración pública municipal, así como a quienes presten servicios en los organismos públicos descentralizados municipales, órganos derivados de contratos de fideicomiso público y empresas de participación municipal mayoritaria, quienes son responsables por los actos u omisiones en que incurran por el desempeño de sus respectivas funciones, pudiendo en consecuencia proceder en su contra la autoridad respectiva.</w:t>
      </w:r>
    </w:p>
    <w:p w:rsidR="00041EB5" w:rsidRPr="00123870" w:rsidRDefault="00041EB5" w:rsidP="00041EB5">
      <w:pPr>
        <w:tabs>
          <w:tab w:val="left" w:pos="709"/>
        </w:tabs>
        <w:jc w:val="both"/>
        <w:rPr>
          <w:snapToGrid w:val="0"/>
          <w:sz w:val="20"/>
          <w:szCs w:val="20"/>
        </w:rPr>
      </w:pPr>
    </w:p>
    <w:p w:rsidR="00041EB5" w:rsidRPr="00123870" w:rsidRDefault="00041EB5" w:rsidP="00041EB5">
      <w:pPr>
        <w:jc w:val="both"/>
        <w:rPr>
          <w:snapToGrid w:val="0"/>
          <w:sz w:val="20"/>
          <w:szCs w:val="20"/>
        </w:rPr>
      </w:pPr>
      <w:r w:rsidRPr="00123870">
        <w:rPr>
          <w:b/>
          <w:bCs/>
          <w:snapToGrid w:val="0"/>
          <w:sz w:val="20"/>
          <w:szCs w:val="20"/>
        </w:rPr>
        <w:t>Artículo 142</w:t>
      </w:r>
      <w:r w:rsidRPr="00123870">
        <w:rPr>
          <w:snapToGrid w:val="0"/>
          <w:sz w:val="20"/>
          <w:szCs w:val="20"/>
        </w:rPr>
        <w:t>. La acción para exigir dichas responsabilidades puede ejercitarse, durante el desempeño del cargo y dentro de los plazos establecidos en la ley estatal en materia de responsabilidades de los servidores públicos.</w:t>
      </w:r>
    </w:p>
    <w:p w:rsidR="00041EB5" w:rsidRPr="002D4033" w:rsidRDefault="00041EB5" w:rsidP="00041EB5">
      <w:pPr>
        <w:jc w:val="both"/>
        <w:rPr>
          <w:snapToGrid w:val="0"/>
          <w:sz w:val="20"/>
          <w:szCs w:val="20"/>
        </w:rPr>
      </w:pPr>
    </w:p>
    <w:p w:rsidR="00041EB5" w:rsidRPr="00A26A36" w:rsidRDefault="00041EB5" w:rsidP="00041EB5">
      <w:pPr>
        <w:tabs>
          <w:tab w:val="left" w:pos="-720"/>
        </w:tabs>
        <w:suppressAutoHyphens/>
        <w:spacing w:after="200" w:line="276" w:lineRule="auto"/>
        <w:contextualSpacing/>
        <w:jc w:val="both"/>
        <w:rPr>
          <w:rFonts w:ascii="Arial" w:hAnsi="Arial" w:cs="Arial"/>
          <w:color w:val="000000" w:themeColor="text1"/>
          <w:lang w:val="es-ES_tradnl"/>
        </w:rPr>
      </w:pPr>
      <w:r w:rsidRPr="0044594A">
        <w:rPr>
          <w:b/>
          <w:bCs/>
          <w:snapToGrid w:val="0"/>
          <w:sz w:val="20"/>
          <w:szCs w:val="20"/>
        </w:rPr>
        <w:t>Artículo 143</w:t>
      </w:r>
      <w:r w:rsidRPr="0044594A">
        <w:rPr>
          <w:snapToGrid w:val="0"/>
          <w:sz w:val="20"/>
          <w:szCs w:val="20"/>
        </w:rPr>
        <w:t>. Cuando algún miembro del Ayuntamiento comete un delito del orden común deberá ser procesado en los términos de la legislación penal.</w:t>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Pr="003F07B7" w:rsidRDefault="00041EB5" w:rsidP="00041EB5">
      <w:pPr>
        <w:tabs>
          <w:tab w:val="left" w:pos="-720"/>
        </w:tabs>
        <w:suppressAutoHyphens/>
        <w:spacing w:after="200" w:line="276" w:lineRule="auto"/>
        <w:contextualSpacing/>
        <w:jc w:val="both"/>
        <w:rPr>
          <w:rFonts w:ascii="Arial" w:eastAsiaTheme="minorHAnsi" w:hAnsi="Arial" w:cs="Arial"/>
          <w:bCs/>
          <w:color w:val="000000" w:themeColor="text1"/>
          <w:lang w:val="es-MX" w:eastAsia="en-US"/>
        </w:rPr>
      </w:pPr>
      <w:r w:rsidRPr="0005759B">
        <w:rPr>
          <w:rFonts w:ascii="Arial" w:eastAsiaTheme="minorHAnsi" w:hAnsi="Arial" w:cs="Arial"/>
          <w:color w:val="000000" w:themeColor="text1"/>
          <w:lang w:val="es-MX" w:eastAsia="en-US"/>
        </w:rPr>
        <w:t xml:space="preserve">Y también a través de la siguiente </w:t>
      </w:r>
      <w:r w:rsidRPr="0005759B">
        <w:rPr>
          <w:rFonts w:ascii="Arial" w:eastAsiaTheme="minorHAnsi" w:hAnsi="Arial" w:cs="Arial"/>
          <w:b/>
          <w:color w:val="000000" w:themeColor="text1"/>
          <w:lang w:val="es-MX" w:eastAsia="en-US"/>
        </w:rPr>
        <w:t>R</w:t>
      </w:r>
      <w:r w:rsidRPr="0005759B">
        <w:rPr>
          <w:rFonts w:ascii="Arial" w:eastAsiaTheme="minorHAnsi" w:hAnsi="Arial" w:cs="Arial"/>
          <w:b/>
          <w:bCs/>
          <w:color w:val="000000" w:themeColor="text1"/>
          <w:lang w:val="es-MX" w:eastAsia="en-US"/>
        </w:rPr>
        <w:t xml:space="preserve">uta de acceso: </w:t>
      </w:r>
      <w:hyperlink r:id="rId21" w:history="1">
        <w:r w:rsidRPr="003F07B7">
          <w:rPr>
            <w:rStyle w:val="Hipervnculo"/>
            <w:rFonts w:ascii="Arial" w:eastAsiaTheme="minorHAnsi" w:hAnsi="Arial" w:cs="Arial"/>
            <w:bCs/>
            <w:color w:val="17365D" w:themeColor="text2" w:themeShade="BF"/>
            <w:lang w:val="es-MX" w:eastAsia="en-US"/>
          </w:rPr>
          <w:t>http://tonala.gob.mx/portal/</w:t>
        </w:r>
      </w:hyperlink>
      <w:r w:rsidRPr="003F07B7">
        <w:rPr>
          <w:rFonts w:ascii="Arial" w:eastAsiaTheme="minorHAnsi" w:hAnsi="Arial" w:cs="Arial"/>
          <w:bCs/>
          <w:color w:val="17365D" w:themeColor="text2" w:themeShade="BF"/>
          <w:lang w:val="es-MX" w:eastAsia="en-US"/>
        </w:rPr>
        <w:t>Apartado</w:t>
      </w:r>
      <w:r>
        <w:rPr>
          <w:rFonts w:ascii="Arial" w:eastAsiaTheme="minorHAnsi" w:hAnsi="Arial" w:cs="Arial"/>
          <w:bCs/>
          <w:lang w:val="es-MX" w:eastAsia="en-US"/>
        </w:rPr>
        <w:t>de Transparencia- Leyes y Reglamentos- Reglamentos</w:t>
      </w:r>
      <w:r w:rsidRPr="00C53F77">
        <w:rPr>
          <w:rFonts w:ascii="Arial" w:eastAsiaTheme="minorHAnsi" w:hAnsi="Arial" w:cs="Arial"/>
          <w:bCs/>
          <w:color w:val="000000" w:themeColor="text1"/>
          <w:lang w:val="es-MX" w:eastAsia="en-US"/>
        </w:rPr>
        <w:t xml:space="preserve">- </w:t>
      </w:r>
      <w:hyperlink r:id="rId22" w:history="1">
        <w:r w:rsidRPr="003F07B7">
          <w:rPr>
            <w:rFonts w:ascii="Arial" w:hAnsi="Arial" w:cs="Arial"/>
            <w:color w:val="000000" w:themeColor="text1"/>
            <w:bdr w:val="none" w:sz="0" w:space="0" w:color="auto" w:frame="1"/>
            <w:shd w:val="clear" w:color="auto" w:fill="FFFFFF"/>
          </w:rPr>
          <w:t>Reglamento del Gobierno y la Administración Pública del Ayuntamiento Constitucional de Tonalá (VIGENTE)</w:t>
        </w:r>
      </w:hyperlink>
    </w:p>
    <w:p w:rsidR="00041EB5" w:rsidRDefault="00041EB5" w:rsidP="00041EB5">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041EB5" w:rsidRDefault="00041EB5" w:rsidP="00041EB5">
      <w:pPr>
        <w:tabs>
          <w:tab w:val="left" w:pos="-720"/>
        </w:tabs>
        <w:suppressAutoHyphens/>
        <w:spacing w:after="200" w:line="276" w:lineRule="auto"/>
        <w:contextualSpacing/>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 xml:space="preserve">Puede consultar directamente </w:t>
      </w:r>
      <w:r>
        <w:rPr>
          <w:rFonts w:ascii="Arial" w:eastAsiaTheme="minorHAnsi" w:hAnsi="Arial" w:cs="Arial"/>
          <w:color w:val="000000" w:themeColor="text1"/>
          <w:lang w:val="es-MX" w:eastAsia="en-US"/>
        </w:rPr>
        <w:t xml:space="preserve">el </w:t>
      </w:r>
      <w:hyperlink r:id="rId23" w:history="1">
        <w:r w:rsidRPr="003F07B7">
          <w:rPr>
            <w:rFonts w:ascii="Arial" w:hAnsi="Arial" w:cs="Arial"/>
            <w:color w:val="000000" w:themeColor="text1"/>
            <w:bdr w:val="none" w:sz="0" w:space="0" w:color="auto" w:frame="1"/>
            <w:shd w:val="clear" w:color="auto" w:fill="FFFFFF"/>
          </w:rPr>
          <w:t>Reglamento del Gobierno y la Administración Pública del Ayuntamiento Constitucional de Tonalá (VIGENTE)</w:t>
        </w:r>
      </w:hyperlink>
      <w:r w:rsidRPr="00974410">
        <w:rPr>
          <w:rFonts w:ascii="Arial" w:eastAsiaTheme="minorHAnsi" w:hAnsi="Arial" w:cs="Arial"/>
          <w:color w:val="000000" w:themeColor="text1"/>
          <w:lang w:val="es-MX" w:eastAsia="en-US"/>
        </w:rPr>
        <w:t>en el sigu</w:t>
      </w:r>
      <w:r w:rsidRPr="00C56503">
        <w:rPr>
          <w:rFonts w:ascii="Arial" w:eastAsiaTheme="minorHAnsi" w:hAnsi="Arial" w:cs="Arial"/>
          <w:color w:val="000000" w:themeColor="text1"/>
          <w:lang w:val="es-MX" w:eastAsia="en-US"/>
        </w:rPr>
        <w:t>iente</w:t>
      </w:r>
      <w:r>
        <w:rPr>
          <w:rFonts w:ascii="Arial" w:eastAsiaTheme="minorHAnsi" w:hAnsi="Arial" w:cs="Arial"/>
          <w:b/>
          <w:color w:val="000000" w:themeColor="text1"/>
          <w:lang w:val="es-MX" w:eastAsia="en-US"/>
        </w:rPr>
        <w:t xml:space="preserve"> link:</w:t>
      </w:r>
    </w:p>
    <w:p w:rsidR="00041EB5" w:rsidRDefault="00041EB5" w:rsidP="00041EB5">
      <w:pPr>
        <w:tabs>
          <w:tab w:val="left" w:pos="-720"/>
        </w:tabs>
        <w:suppressAutoHyphens/>
        <w:spacing w:after="200" w:line="276" w:lineRule="auto"/>
        <w:contextualSpacing/>
        <w:jc w:val="both"/>
        <w:rPr>
          <w:rFonts w:ascii="Arial" w:eastAsiaTheme="minorHAnsi" w:hAnsi="Arial" w:cs="Arial"/>
          <w:b/>
          <w:color w:val="000000" w:themeColor="text1"/>
          <w:lang w:val="es-MX" w:eastAsia="en-US"/>
        </w:rPr>
      </w:pPr>
      <w:hyperlink r:id="rId24" w:history="1">
        <w:r w:rsidRPr="00A6161F">
          <w:rPr>
            <w:rStyle w:val="Hipervnculo"/>
            <w:rFonts w:ascii="Arial" w:eastAsiaTheme="minorHAnsi" w:hAnsi="Arial" w:cs="Arial"/>
            <w:b/>
            <w:lang w:val="es-MX" w:eastAsia="en-US"/>
          </w:rPr>
          <w:t>http://www.tonala.gob.mx/portal/assets/reglamento-del-gobierno-y-la-administraci%C3%B3n-p%C3%BAblica-del-ayuntamiento-constitucional-de-tonal%C3%A1%2c-jalisco-vigente.pdf</w:t>
        </w:r>
      </w:hyperlink>
    </w:p>
    <w:p w:rsidR="00041EB5" w:rsidRDefault="00041EB5" w:rsidP="00041EB5">
      <w:pPr>
        <w:tabs>
          <w:tab w:val="left" w:pos="-720"/>
        </w:tabs>
        <w:suppressAutoHyphens/>
        <w:spacing w:after="200" w:line="276" w:lineRule="auto"/>
        <w:contextualSpacing/>
        <w:jc w:val="both"/>
        <w:rPr>
          <w:rFonts w:ascii="Arial" w:eastAsiaTheme="minorHAnsi" w:hAnsi="Arial" w:cs="Arial"/>
          <w:b/>
          <w:color w:val="000000" w:themeColor="text1"/>
          <w:lang w:val="es-MX" w:eastAsia="en-US"/>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Pr="003F07B7"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lastRenderedPageBreak/>
        <w:drawing>
          <wp:inline distT="0" distB="0" distL="0" distR="0">
            <wp:extent cx="6105525" cy="3648075"/>
            <wp:effectExtent l="0" t="0" r="9525" b="9525"/>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5525" cy="3648075"/>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lastRenderedPageBreak/>
        <w:pict>
          <v:shape id="Flecha derecha 242" o:spid="_x0000_s1028" type="#_x0000_t13" style="position:absolute;left:0;text-align:left;margin-left:-50.25pt;margin-top:248.25pt;width:51.75pt;height:1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" adj="18626" fillcolor="#00b050" strokecolor="windowText" strokeweight="2pt"/>
        </w:pict>
      </w:r>
      <w:r>
        <w:rPr>
          <w:rFonts w:ascii="Arial" w:hAnsi="Arial" w:cs="Arial"/>
          <w:noProof/>
          <w:color w:val="000000" w:themeColor="text1"/>
          <w:lang w:val="es-MX" w:eastAsia="es-MX"/>
        </w:rPr>
        <w:drawing>
          <wp:inline distT="0" distB="0" distL="0" distR="0">
            <wp:extent cx="6115050" cy="4276725"/>
            <wp:effectExtent l="0" t="0" r="0" b="9525"/>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4276725"/>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lastRenderedPageBreak/>
        <w:drawing>
          <wp:inline distT="0" distB="0" distL="0" distR="0">
            <wp:extent cx="6115050" cy="3857625"/>
            <wp:effectExtent l="0" t="0" r="0" b="9525"/>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3857625"/>
                    </a:xfrm>
                    <a:prstGeom prst="rect">
                      <a:avLst/>
                    </a:prstGeom>
                    <a:noFill/>
                    <a:ln>
                      <a:noFill/>
                    </a:ln>
                  </pic:spPr>
                </pic:pic>
              </a:graphicData>
            </a:graphic>
          </wp:inline>
        </w:drawing>
      </w: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Default="00041EB5" w:rsidP="00041EB5">
      <w:pPr>
        <w:tabs>
          <w:tab w:val="left" w:pos="-720"/>
        </w:tabs>
        <w:suppressAutoHyphens/>
        <w:spacing w:after="200" w:line="276" w:lineRule="auto"/>
        <w:contextualSpacing/>
        <w:jc w:val="both"/>
        <w:rPr>
          <w:rFonts w:ascii="Arial" w:hAnsi="Arial" w:cs="Arial"/>
          <w:color w:val="000000" w:themeColor="text1"/>
        </w:rPr>
      </w:pPr>
    </w:p>
    <w:p w:rsidR="00041EB5" w:rsidRPr="00BC0A2C" w:rsidRDefault="00041EB5" w:rsidP="00041EB5">
      <w:pPr>
        <w:jc w:val="both"/>
        <w:textAlignment w:val="top"/>
        <w:rPr>
          <w:rFonts w:ascii="Arial" w:hAnsi="Arial" w:cs="Arial"/>
          <w:color w:val="000000"/>
        </w:rPr>
      </w:pPr>
      <w:r>
        <w:rPr>
          <w:rFonts w:ascii="Arial" w:eastAsiaTheme="minorHAnsi" w:hAnsi="Arial" w:cs="Arial"/>
          <w:b/>
          <w:bCs/>
          <w:lang w:val="es-MX" w:eastAsia="en-US"/>
        </w:rPr>
        <w:t xml:space="preserve">Fundamentación: </w:t>
      </w:r>
      <w:hyperlink r:id="rId28" w:history="1">
        <w:r w:rsidRPr="005156D5">
          <w:rPr>
            <w:rFonts w:ascii="Arial" w:hAnsi="Arial" w:cs="Arial"/>
            <w:color w:val="000000" w:themeColor="text1"/>
            <w:bdr w:val="none" w:sz="0" w:space="0" w:color="auto" w:frame="1"/>
            <w:shd w:val="clear" w:color="auto" w:fill="FFFFFF"/>
          </w:rPr>
          <w:t>Ley del Presupuesto, Contabilidad y Gasto Publico del Estado de Jalisco (20 de Enero 1998)</w:t>
        </w:r>
      </w:hyperlink>
      <w:r>
        <w:rPr>
          <w:rFonts w:ascii="Arial" w:hAnsi="Arial" w:cs="Arial"/>
          <w:color w:val="000000" w:themeColor="text1"/>
          <w:bdr w:val="none" w:sz="0" w:space="0" w:color="auto" w:frame="1"/>
          <w:shd w:val="clear" w:color="auto" w:fill="FFFFFF"/>
        </w:rPr>
        <w:t xml:space="preserve">, la </w:t>
      </w:r>
      <w:hyperlink r:id="rId29" w:history="1">
        <w:r w:rsidRPr="00723FD5">
          <w:rPr>
            <w:rFonts w:ascii="Arial" w:hAnsi="Arial" w:cs="Arial"/>
            <w:color w:val="000000" w:themeColor="text1"/>
            <w:bdr w:val="none" w:sz="0" w:space="0" w:color="auto" w:frame="1"/>
            <w:shd w:val="clear" w:color="auto" w:fill="FFFFFF"/>
          </w:rPr>
          <w:t>Ley del Gobierno y la Administración Pública Municipal del Estado de Jalisco (5 de Octubre 2000 sección III)</w:t>
        </w:r>
      </w:hyperlink>
      <w:r>
        <w:rPr>
          <w:rFonts w:ascii="Arial" w:hAnsi="Arial" w:cs="Arial"/>
          <w:color w:val="000000" w:themeColor="text1"/>
        </w:rPr>
        <w:t xml:space="preserve"> y </w:t>
      </w:r>
      <w:r w:rsidRPr="00BC0A2C">
        <w:rPr>
          <w:rFonts w:ascii="Arial" w:hAnsi="Arial" w:cs="Arial"/>
        </w:rPr>
        <w:t>Reglamento del Gobierno y la Administración Pública del Ayuntamiento Constitucional de Tonalá, Jalisco.</w:t>
      </w:r>
    </w:p>
    <w:p w:rsidR="00041EB5" w:rsidRPr="001D55A2" w:rsidRDefault="00041EB5" w:rsidP="00041EB5">
      <w:pPr>
        <w:autoSpaceDE w:val="0"/>
        <w:autoSpaceDN w:val="0"/>
        <w:adjustRightInd w:val="0"/>
        <w:rPr>
          <w:rFonts w:ascii="Arial" w:eastAsiaTheme="minorHAnsi" w:hAnsi="Arial" w:cs="Arial"/>
          <w:color w:val="000000" w:themeColor="text1"/>
          <w:lang w:eastAsia="en-US"/>
        </w:rPr>
      </w:pPr>
    </w:p>
    <w:p w:rsidR="00041EB5" w:rsidRDefault="00041EB5" w:rsidP="00041EB5">
      <w:pPr>
        <w:tabs>
          <w:tab w:val="left" w:pos="-720"/>
        </w:tabs>
        <w:suppressAutoHyphens/>
        <w:spacing w:after="200" w:line="276" w:lineRule="auto"/>
        <w:contextualSpacing/>
        <w:jc w:val="both"/>
        <w:rPr>
          <w:rFonts w:ascii="Arial" w:eastAsiaTheme="minorHAnsi" w:hAnsi="Arial" w:cs="Arial"/>
          <w:lang w:val="es-MX" w:eastAsia="en-US"/>
        </w:rPr>
      </w:pPr>
      <w:r>
        <w:rPr>
          <w:rFonts w:ascii="Arial" w:eastAsiaTheme="minorHAnsi" w:hAnsi="Arial" w:cs="Arial"/>
          <w:b/>
          <w:bCs/>
          <w:lang w:val="es-MX" w:eastAsia="en-US"/>
        </w:rPr>
        <w:t xml:space="preserve">Fuente: </w:t>
      </w:r>
      <w:r>
        <w:rPr>
          <w:rFonts w:ascii="Arial" w:eastAsiaTheme="minorHAnsi" w:hAnsi="Arial" w:cs="Arial"/>
          <w:lang w:val="es-MX" w:eastAsia="en-US"/>
        </w:rPr>
        <w:t>Sitio oficial de internet del Gobierno Municipal de Tonalá.</w:t>
      </w:r>
    </w:p>
    <w:p w:rsidR="00D44C74" w:rsidRPr="00041EB5" w:rsidRDefault="00D44C74">
      <w:pPr>
        <w:rPr>
          <w:lang w:val="es-MX"/>
        </w:rPr>
      </w:pPr>
    </w:p>
    <w:sectPr w:rsidR="00D44C74" w:rsidRPr="00041EB5" w:rsidSect="00D44C74">
      <w:headerReference w:type="default" r:id="rId3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52" w:rsidRDefault="004F7B52" w:rsidP="00041EB5">
      <w:r>
        <w:separator/>
      </w:r>
    </w:p>
  </w:endnote>
  <w:endnote w:type="continuationSeparator" w:id="0">
    <w:p w:rsidR="004F7B52" w:rsidRDefault="004F7B52" w:rsidP="00041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52" w:rsidRDefault="004F7B52" w:rsidP="00041EB5">
      <w:r>
        <w:separator/>
      </w:r>
    </w:p>
  </w:footnote>
  <w:footnote w:type="continuationSeparator" w:id="0">
    <w:p w:rsidR="004F7B52" w:rsidRDefault="004F7B52" w:rsidP="00041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B5" w:rsidRDefault="00041EB5">
    <w:pPr>
      <w:pStyle w:val="Encabezado"/>
    </w:pPr>
    <w:r>
      <w:rPr>
        <w:noProof/>
        <w:lang w:val="es-MX" w:eastAsia="es-MX"/>
      </w:rPr>
      <w:drawing>
        <wp:inline distT="0" distB="0" distL="0" distR="0">
          <wp:extent cx="714375" cy="1017984"/>
          <wp:effectExtent l="19050" t="0" r="9525"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14375" cy="1017984"/>
                  </a:xfrm>
                  <a:prstGeom prst="rect">
                    <a:avLst/>
                  </a:prstGeom>
                  <a:noFill/>
                  <a:ln w="9525">
                    <a:noFill/>
                    <a:miter lim="800000"/>
                    <a:headEnd/>
                    <a:tailEnd/>
                  </a:ln>
                </pic:spPr>
              </pic:pic>
            </a:graphicData>
          </a:graphic>
        </wp:inline>
      </w:drawing>
    </w:r>
    <w:r>
      <w:t xml:space="preserve">  </w:t>
    </w:r>
    <w:r>
      <w:rPr>
        <w:noProof/>
        <w:lang w:val="es-MX" w:eastAsia="es-MX"/>
      </w:rPr>
      <w:t xml:space="preserve">                                                                                      </w:t>
    </w:r>
    <w:r>
      <w:rPr>
        <w:noProof/>
        <w:lang w:val="es-MX" w:eastAsia="es-MX"/>
      </w:rPr>
      <w:drawing>
        <wp:inline distT="0" distB="0" distL="0" distR="0">
          <wp:extent cx="1514475" cy="1022271"/>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514475" cy="102227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1EB5"/>
    <w:rsid w:val="00041EB5"/>
    <w:rsid w:val="002A149A"/>
    <w:rsid w:val="004F7B52"/>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B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qFormat/>
    <w:rsid w:val="00041EB5"/>
    <w:pPr>
      <w:keepNext/>
      <w:keepLines/>
      <w:spacing w:before="200"/>
      <w:outlineLvl w:val="1"/>
    </w:pPr>
    <w:rPr>
      <w:rFonts w:ascii="Cambria" w:eastAsia="Calibri" w:hAnsi="Cambria"/>
      <w:b/>
      <w:bCs/>
      <w:color w:val="4F81BD"/>
      <w:sz w:val="26"/>
      <w:szCs w:val="26"/>
    </w:rPr>
  </w:style>
  <w:style w:type="paragraph" w:styleId="Ttulo7">
    <w:name w:val="heading 7"/>
    <w:basedOn w:val="Normal"/>
    <w:next w:val="Normal"/>
    <w:link w:val="Ttulo7Car"/>
    <w:uiPriority w:val="99"/>
    <w:qFormat/>
    <w:rsid w:val="00041EB5"/>
    <w:pPr>
      <w:spacing w:before="240" w:after="60"/>
      <w:outlineLvl w:val="6"/>
    </w:pPr>
    <w:rPr>
      <w:rFonts w:eastAsia="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041EB5"/>
    <w:rPr>
      <w:rFonts w:ascii="Cambria" w:eastAsia="Calibri" w:hAnsi="Cambria" w:cs="Times New Roman"/>
      <w:b/>
      <w:bCs/>
      <w:color w:val="4F81BD"/>
      <w:sz w:val="26"/>
      <w:szCs w:val="26"/>
      <w:lang w:val="es-ES" w:eastAsia="es-ES"/>
    </w:rPr>
  </w:style>
  <w:style w:type="character" w:customStyle="1" w:styleId="Ttulo7Car">
    <w:name w:val="Título 7 Car"/>
    <w:basedOn w:val="Fuentedeprrafopredeter"/>
    <w:link w:val="Ttulo7"/>
    <w:uiPriority w:val="99"/>
    <w:rsid w:val="00041EB5"/>
    <w:rPr>
      <w:rFonts w:ascii="Times New Roman" w:eastAsia="Calibri" w:hAnsi="Times New Roman" w:cs="Times New Roman"/>
      <w:sz w:val="24"/>
      <w:szCs w:val="24"/>
      <w:lang w:val="es-ES" w:eastAsia="es-MX"/>
    </w:rPr>
  </w:style>
  <w:style w:type="character" w:styleId="Hipervnculo">
    <w:name w:val="Hyperlink"/>
    <w:basedOn w:val="Fuentedeprrafopredeter"/>
    <w:uiPriority w:val="99"/>
    <w:unhideWhenUsed/>
    <w:rsid w:val="00041EB5"/>
    <w:rPr>
      <w:color w:val="0000FF" w:themeColor="hyperlink"/>
      <w:u w:val="single"/>
    </w:rPr>
  </w:style>
  <w:style w:type="paragraph" w:styleId="Textoindependiente3">
    <w:name w:val="Body Text 3"/>
    <w:basedOn w:val="Normal"/>
    <w:link w:val="Textoindependiente3Car"/>
    <w:uiPriority w:val="99"/>
    <w:rsid w:val="00041EB5"/>
    <w:pPr>
      <w:tabs>
        <w:tab w:val="left" w:pos="-720"/>
        <w:tab w:val="left" w:pos="0"/>
        <w:tab w:val="left" w:pos="720"/>
      </w:tabs>
      <w:suppressAutoHyphens/>
      <w:jc w:val="both"/>
    </w:pPr>
    <w:rPr>
      <w:spacing w:val="-3"/>
      <w:lang w:val="es-ES_tradnl"/>
    </w:rPr>
  </w:style>
  <w:style w:type="character" w:customStyle="1" w:styleId="Textoindependiente3Car">
    <w:name w:val="Texto independiente 3 Car"/>
    <w:basedOn w:val="Fuentedeprrafopredeter"/>
    <w:link w:val="Textoindependiente3"/>
    <w:uiPriority w:val="99"/>
    <w:rsid w:val="00041EB5"/>
    <w:rPr>
      <w:rFonts w:ascii="Times New Roman" w:eastAsia="Times New Roman" w:hAnsi="Times New Roman" w:cs="Times New Roman"/>
      <w:spacing w:val="-3"/>
      <w:sz w:val="24"/>
      <w:szCs w:val="24"/>
      <w:lang w:val="es-ES_tradnl" w:eastAsia="es-ES"/>
    </w:rPr>
  </w:style>
  <w:style w:type="paragraph" w:styleId="Textoindependiente">
    <w:name w:val="Body Text"/>
    <w:basedOn w:val="Normal"/>
    <w:link w:val="TextoindependienteCar"/>
    <w:uiPriority w:val="99"/>
    <w:rsid w:val="00041EB5"/>
    <w:pPr>
      <w:spacing w:after="120"/>
    </w:pPr>
    <w:rPr>
      <w:sz w:val="20"/>
      <w:szCs w:val="20"/>
      <w:lang w:eastAsia="es-MX"/>
    </w:rPr>
  </w:style>
  <w:style w:type="character" w:customStyle="1" w:styleId="TextoindependienteCar">
    <w:name w:val="Texto independiente Car"/>
    <w:basedOn w:val="Fuentedeprrafopredeter"/>
    <w:link w:val="Textoindependiente"/>
    <w:uiPriority w:val="99"/>
    <w:rsid w:val="00041EB5"/>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041EB5"/>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B5"/>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041EB5"/>
    <w:pPr>
      <w:tabs>
        <w:tab w:val="center" w:pos="4419"/>
        <w:tab w:val="right" w:pos="8838"/>
      </w:tabs>
    </w:pPr>
  </w:style>
  <w:style w:type="character" w:customStyle="1" w:styleId="EncabezadoCar">
    <w:name w:val="Encabezado Car"/>
    <w:basedOn w:val="Fuentedeprrafopredeter"/>
    <w:link w:val="Encabezado"/>
    <w:uiPriority w:val="99"/>
    <w:semiHidden/>
    <w:rsid w:val="00041EB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041EB5"/>
    <w:pPr>
      <w:tabs>
        <w:tab w:val="center" w:pos="4419"/>
        <w:tab w:val="right" w:pos="8838"/>
      </w:tabs>
    </w:pPr>
  </w:style>
  <w:style w:type="character" w:customStyle="1" w:styleId="PiedepginaCar">
    <w:name w:val="Pie de página Car"/>
    <w:basedOn w:val="Fuentedeprrafopredeter"/>
    <w:link w:val="Piedepgina"/>
    <w:uiPriority w:val="99"/>
    <w:semiHidden/>
    <w:rsid w:val="00041EB5"/>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ala.gob.mx/portal/assets/ley-del-presupuesto%2c-contabilidad-y-gasto-publico-del-estado-de-jalisco.docx" TargetMode="External"/><Relationship Id="rId13" Type="http://schemas.openxmlformats.org/officeDocument/2006/relationships/image" Target="media/image2.png"/><Relationship Id="rId18" Type="http://schemas.openxmlformats.org/officeDocument/2006/relationships/hyperlink" Target="http://www.tonala.gob.mx/portal/assets/leydelgobiernoylaadministracionpublicamunicipaldelestadodejalisco.pdf"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tonala.gob.mx/portal/" TargetMode="External"/><Relationship Id="rId7" Type="http://schemas.openxmlformats.org/officeDocument/2006/relationships/hyperlink" Target="http://www.tonala.gob.mx/portal/assets/ley-del-presupuesto%2c-contabilidad-y-gasto-publico-del-estado-de-jalisco.docx" TargetMode="External"/><Relationship Id="rId12" Type="http://schemas.openxmlformats.org/officeDocument/2006/relationships/image" Target="media/image1.png"/><Relationship Id="rId17" Type="http://schemas.openxmlformats.org/officeDocument/2006/relationships/hyperlink" Target="http://www.tonala.gob.mx/portal/assets/leyparalosservidorespublicosdelestadodejaliscoysusmunicipios.pdf"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tonala.gob.mx/portal/assets/leydelgobiernoylaadministracionpublicamunicipaldelestadodejalisco.pdf" TargetMode="External"/><Relationship Id="rId20" Type="http://schemas.openxmlformats.org/officeDocument/2006/relationships/image" Target="media/image4.png"/><Relationship Id="rId29" Type="http://schemas.openxmlformats.org/officeDocument/2006/relationships/hyperlink" Target="http://www.tonala.gob.mx/portal/assets/leydelgobiernoylaadministracionpublicamunicipaldelestadodejalisco.pdf" TargetMode="External"/><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hyperlink" Target="http://www.tonala.gob.mx/portal/assets/ley-del-presupuesto%2c-contabilidad-y-gasto-publico-del-estado-de-jalisco.docx" TargetMode="External"/><Relationship Id="rId24" Type="http://schemas.openxmlformats.org/officeDocument/2006/relationships/hyperlink" Target="http://www.tonala.gob.mx/portal/assets/reglamento-del-gobierno-y-la-administraci%C3%B3n-p%C3%BAblica-del-ayuntamiento-constitucional-de-tonal%C3%A1%2c-jalisco-vigente.pd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tonala.gob.mx/portal/" TargetMode="External"/><Relationship Id="rId23" Type="http://schemas.openxmlformats.org/officeDocument/2006/relationships/hyperlink" Target="http://www.tonala.gob.mx/portal/assets/reglamento-del-gobierno-y-la-administraci%c3%b3n-p%c3%bablica-del-ayuntamiento-constitucional-de-tonal%c3%a1%2c-jalisco-vigente.pdf" TargetMode="External"/><Relationship Id="rId28" Type="http://schemas.openxmlformats.org/officeDocument/2006/relationships/hyperlink" Target="http://www.tonala.gob.mx/portal/assets/ley-del-presupuesto%2c-contabilidad-y-gasto-publico-del-estado-de-jalisco.docx" TargetMode="External"/><Relationship Id="rId10" Type="http://schemas.openxmlformats.org/officeDocument/2006/relationships/hyperlink" Target="http://tonala.gob.mx/portal/leyes-estatales/" TargetMode="External"/><Relationship Id="rId19" Type="http://schemas.openxmlformats.org/officeDocument/2006/relationships/hyperlink" Target="http://www.tonala.gob.mx/portal/assets/leydelgobiernoylaadministracionpublicamunicipaldelestadodejalisco.pdf"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onala.gob.mx/portal/assets/leyparalosservidorespublicosdelestadodejaliscoysusmunicipios.pdf" TargetMode="External"/><Relationship Id="rId14" Type="http://schemas.openxmlformats.org/officeDocument/2006/relationships/image" Target="media/image3.png"/><Relationship Id="rId22" Type="http://schemas.openxmlformats.org/officeDocument/2006/relationships/hyperlink" Target="http://www.tonala.gob.mx/portal/assets/reglamento-del-gobierno-y-la-administraci%c3%b3n-p%c3%bablica-del-ayuntamiento-constitucional-de-tonal%c3%a1%2c-jalisco-vigente.pdf" TargetMode="External"/><Relationship Id="rId27" Type="http://schemas.openxmlformats.org/officeDocument/2006/relationships/image" Target="media/image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2234</Words>
  <Characters>12292</Characters>
  <Application>Microsoft Office Word</Application>
  <DocSecurity>0</DocSecurity>
  <Lines>102</Lines>
  <Paragraphs>28</Paragraphs>
  <ScaleCrop>false</ScaleCrop>
  <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2017-09-18T16:46:00Z</dcterms:created>
  <dcterms:modified xsi:type="dcterms:W3CDTF">2017-09-18T16:47:00Z</dcterms:modified>
</cp:coreProperties>
</file>