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62" w:rsidRDefault="00740A62" w:rsidP="00740A62">
      <w:pPr>
        <w:spacing w:after="200" w:line="276" w:lineRule="auto"/>
        <w:contextualSpacing/>
        <w:jc w:val="both"/>
        <w:rPr>
          <w:rFonts w:ascii="Arial" w:eastAsiaTheme="minorHAnsi" w:hAnsi="Arial" w:cs="Arial"/>
          <w:b/>
          <w:bCs/>
          <w:lang w:val="es-MX" w:eastAsia="en-US"/>
        </w:rPr>
      </w:pPr>
    </w:p>
    <w:p w:rsidR="00740A62" w:rsidRDefault="00740A62" w:rsidP="00740A62">
      <w:pPr>
        <w:spacing w:after="200" w:line="276" w:lineRule="auto"/>
        <w:contextualSpacing/>
        <w:jc w:val="both"/>
        <w:rPr>
          <w:rFonts w:ascii="Arial" w:eastAsiaTheme="minorHAnsi" w:hAnsi="Arial" w:cs="Arial"/>
          <w:b/>
          <w:bCs/>
          <w:lang w:val="es-MX" w:eastAsia="en-US"/>
        </w:rPr>
      </w:pPr>
      <w:r>
        <w:rPr>
          <w:rFonts w:ascii="Arial" w:eastAsiaTheme="minorHAnsi" w:hAnsi="Arial" w:cs="Arial"/>
          <w:b/>
          <w:bCs/>
          <w:lang w:val="es-MX" w:eastAsia="en-US"/>
        </w:rPr>
        <w:t>79. ¿Contiene criterios para realizar incrementos salariales?</w:t>
      </w:r>
    </w:p>
    <w:p w:rsidR="00740A62" w:rsidRDefault="00740A62" w:rsidP="00740A62">
      <w:pPr>
        <w:spacing w:after="200" w:line="276" w:lineRule="auto"/>
        <w:contextualSpacing/>
        <w:jc w:val="both"/>
        <w:rPr>
          <w:rFonts w:ascii="Arial" w:eastAsiaTheme="minorHAnsi" w:hAnsi="Arial" w:cs="Arial"/>
          <w:b/>
          <w:bCs/>
          <w:lang w:val="es-MX"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r w:rsidRPr="00961B0B">
        <w:rPr>
          <w:rFonts w:ascii="Arial" w:eastAsiaTheme="minorHAnsi" w:hAnsi="Arial" w:cs="Arial"/>
          <w:spacing w:val="-3"/>
          <w:lang w:eastAsia="en-US"/>
        </w:rPr>
        <w:t>Para los efectos de este ordenamiento, se entiende por escalafón el sistema organizado en cada Entidad Pública para efectuar las promociones de ascensos de los servidores, y todo aquello relacionado con los cambios y movimientos de los mismos, conforme a las bases establecidas en el reglamento respectivo</w:t>
      </w:r>
      <w:r>
        <w:rPr>
          <w:rFonts w:ascii="Arial" w:eastAsiaTheme="minorHAnsi" w:hAnsi="Arial" w:cs="Arial"/>
          <w:spacing w:val="-3"/>
          <w:lang w:eastAsia="en-US"/>
        </w:rPr>
        <w:t>.</w:t>
      </w: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Pr="00C53F77" w:rsidRDefault="00740A62" w:rsidP="00740A62">
      <w:pPr>
        <w:tabs>
          <w:tab w:val="left" w:pos="-720"/>
        </w:tabs>
        <w:suppressAutoHyphens/>
        <w:spacing w:after="200" w:line="276" w:lineRule="auto"/>
        <w:contextualSpacing/>
        <w:jc w:val="both"/>
        <w:rPr>
          <w:rFonts w:ascii="Arial" w:eastAsiaTheme="minorHAnsi" w:hAnsi="Arial" w:cs="Arial"/>
          <w:color w:val="000000" w:themeColor="text1"/>
          <w:spacing w:val="-3"/>
          <w:lang w:eastAsia="en-US"/>
        </w:rPr>
      </w:pPr>
      <w:r>
        <w:rPr>
          <w:rFonts w:ascii="Arial" w:eastAsiaTheme="minorHAnsi" w:hAnsi="Arial" w:cs="Arial"/>
          <w:lang w:val="es-MX" w:eastAsia="en-US"/>
        </w:rPr>
        <w:t xml:space="preserve">Se puede consultar en la siguiente </w:t>
      </w:r>
      <w:r w:rsidRPr="00C71B91">
        <w:rPr>
          <w:rFonts w:ascii="Arial" w:eastAsiaTheme="minorHAnsi" w:hAnsi="Arial" w:cs="Arial"/>
          <w:b/>
          <w:lang w:val="es-MX" w:eastAsia="en-US"/>
        </w:rPr>
        <w:t>R</w:t>
      </w:r>
      <w:r>
        <w:rPr>
          <w:rFonts w:ascii="Arial" w:eastAsiaTheme="minorHAnsi" w:hAnsi="Arial" w:cs="Arial"/>
          <w:b/>
          <w:bCs/>
          <w:lang w:val="es-MX" w:eastAsia="en-US"/>
        </w:rPr>
        <w:t xml:space="preserve">uta de acceso: </w:t>
      </w:r>
      <w:hyperlink r:id="rId6" w:history="1">
        <w:r w:rsidRPr="00066189">
          <w:rPr>
            <w:rStyle w:val="Hipervnculo"/>
            <w:rFonts w:ascii="Arial" w:eastAsiaTheme="minorHAnsi" w:hAnsi="Arial" w:cs="Arial"/>
            <w:bCs/>
            <w:lang w:val="es-MX" w:eastAsia="en-US"/>
          </w:rPr>
          <w:t>http://tonala.gob.mx/portal/</w:t>
        </w:r>
      </w:hyperlink>
      <w:r>
        <w:rPr>
          <w:rFonts w:ascii="Arial" w:eastAsiaTheme="minorHAnsi" w:hAnsi="Arial" w:cs="Arial"/>
          <w:bCs/>
          <w:lang w:val="es-MX" w:eastAsia="en-US"/>
        </w:rPr>
        <w:t xml:space="preserve">  Apartado de Transparencia- Leyes y Reglamentos- Leyes Estatales</w:t>
      </w:r>
      <w:r w:rsidRPr="00C53F77">
        <w:rPr>
          <w:rFonts w:ascii="Arial" w:eastAsiaTheme="minorHAnsi" w:hAnsi="Arial" w:cs="Arial"/>
          <w:bCs/>
          <w:color w:val="000000" w:themeColor="text1"/>
          <w:lang w:val="es-MX" w:eastAsia="en-US"/>
        </w:rPr>
        <w:t xml:space="preserve">- </w:t>
      </w:r>
      <w:hyperlink r:id="rId7" w:history="1">
        <w:r w:rsidRPr="00C53F77">
          <w:rPr>
            <w:rFonts w:ascii="Arial" w:hAnsi="Arial" w:cs="Arial"/>
            <w:color w:val="000000" w:themeColor="text1"/>
            <w:bdr w:val="none" w:sz="0" w:space="0" w:color="auto" w:frame="1"/>
            <w:shd w:val="clear" w:color="auto" w:fill="FFFFFF"/>
          </w:rPr>
          <w:t>Ley para los Servidores Públicos del Estado de Jalisco y sus Municipios (7 de Abril 1984)</w:t>
        </w:r>
      </w:hyperlink>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autoSpaceDE w:val="0"/>
        <w:autoSpaceDN w:val="0"/>
        <w:adjustRightInd w:val="0"/>
        <w:jc w:val="both"/>
        <w:rPr>
          <w:rFonts w:ascii="Arial" w:eastAsiaTheme="minorHAnsi" w:hAnsi="Arial" w:cs="Arial"/>
          <w:b/>
          <w:color w:val="000000" w:themeColor="text1"/>
          <w:lang w:val="es-MX" w:eastAsia="en-US"/>
        </w:rPr>
      </w:pPr>
      <w:r w:rsidRPr="00C56503">
        <w:rPr>
          <w:rFonts w:ascii="Arial" w:eastAsiaTheme="minorHAnsi" w:hAnsi="Arial" w:cs="Arial"/>
          <w:color w:val="000000" w:themeColor="text1"/>
          <w:lang w:val="es-MX" w:eastAsia="en-US"/>
        </w:rPr>
        <w:t xml:space="preserve">Puede consultar directamente la </w:t>
      </w:r>
      <w:hyperlink r:id="rId8" w:history="1">
        <w:r w:rsidRPr="00C56503">
          <w:rPr>
            <w:rFonts w:ascii="Arial" w:hAnsi="Arial" w:cs="Arial"/>
            <w:color w:val="000000" w:themeColor="text1"/>
            <w:bdr w:val="none" w:sz="0" w:space="0" w:color="auto" w:frame="1"/>
            <w:shd w:val="clear" w:color="auto" w:fill="FFFFFF"/>
          </w:rPr>
          <w:t xml:space="preserve">Ley para los Servidores Públicos del Estado de Jalisco y sus Municipios </w:t>
        </w:r>
      </w:hyperlink>
      <w:r w:rsidRPr="00C56503">
        <w:rPr>
          <w:rFonts w:ascii="Arial" w:eastAsiaTheme="minorHAnsi" w:hAnsi="Arial" w:cs="Arial"/>
          <w:color w:val="000000" w:themeColor="text1"/>
          <w:lang w:val="es-MX" w:eastAsia="en-US"/>
        </w:rPr>
        <w:t>en el siguiente</w:t>
      </w:r>
      <w:r>
        <w:rPr>
          <w:rFonts w:ascii="Arial" w:eastAsiaTheme="minorHAnsi" w:hAnsi="Arial" w:cs="Arial"/>
          <w:b/>
          <w:color w:val="000000" w:themeColor="text1"/>
          <w:lang w:val="es-MX" w:eastAsia="en-US"/>
        </w:rPr>
        <w:t xml:space="preserve"> link:</w:t>
      </w:r>
    </w:p>
    <w:p w:rsidR="00740A62" w:rsidRDefault="00740A62" w:rsidP="00740A62">
      <w:pPr>
        <w:tabs>
          <w:tab w:val="left" w:pos="-720"/>
        </w:tabs>
        <w:suppressAutoHyphens/>
        <w:spacing w:after="200" w:line="276" w:lineRule="auto"/>
        <w:contextualSpacing/>
        <w:jc w:val="both"/>
      </w:pPr>
      <w:hyperlink r:id="rId9" w:history="1">
        <w:r w:rsidRPr="00A6161F">
          <w:rPr>
            <w:rStyle w:val="Hipervnculo"/>
            <w:rFonts w:ascii="Arial" w:eastAsiaTheme="minorHAnsi" w:hAnsi="Arial" w:cs="Arial"/>
            <w:spacing w:val="-3"/>
            <w:lang w:val="es-MX" w:eastAsia="en-US"/>
          </w:rPr>
          <w:t>http://www.tonala.gob.mx/portal/assets/leyparalosservidorespublicosdelestadodejaliscoysusmunicipios.pdf</w:t>
        </w:r>
      </w:hyperlink>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Pr="009E70FD" w:rsidRDefault="00740A62" w:rsidP="00740A62">
      <w:pPr>
        <w:suppressAutoHyphens/>
        <w:jc w:val="both"/>
        <w:rPr>
          <w:rFonts w:ascii="Arial" w:hAnsi="Arial" w:cs="Arial"/>
          <w:spacing w:val="-3"/>
          <w:sz w:val="20"/>
        </w:rPr>
      </w:pPr>
      <w:r w:rsidRPr="009E70FD">
        <w:rPr>
          <w:rFonts w:ascii="Arial" w:hAnsi="Arial" w:cs="Arial"/>
          <w:spacing w:val="-3"/>
          <w:sz w:val="20"/>
        </w:rPr>
        <w:t>Al margen un sello que dice: Gobierno de Jalisco. Poder Ejecutivo. Secretaría General de Gobierno. Estados Unidos Mexicanos.</w:t>
      </w:r>
    </w:p>
    <w:p w:rsidR="00740A62" w:rsidRPr="009E70FD" w:rsidRDefault="00740A62" w:rsidP="00740A62">
      <w:pPr>
        <w:suppressAutoHyphens/>
        <w:jc w:val="both"/>
        <w:rPr>
          <w:rFonts w:ascii="Arial" w:hAnsi="Arial" w:cs="Arial"/>
          <w:b/>
          <w:spacing w:val="-3"/>
          <w:sz w:val="20"/>
        </w:rPr>
      </w:pPr>
    </w:p>
    <w:p w:rsidR="00740A62" w:rsidRPr="009E70FD" w:rsidRDefault="00740A62" w:rsidP="00740A62">
      <w:pPr>
        <w:suppressAutoHyphens/>
        <w:jc w:val="both"/>
        <w:rPr>
          <w:rFonts w:ascii="Arial" w:hAnsi="Arial" w:cs="Arial"/>
          <w:spacing w:val="-3"/>
          <w:sz w:val="20"/>
        </w:rPr>
      </w:pPr>
      <w:r w:rsidRPr="009E70FD">
        <w:rPr>
          <w:rFonts w:ascii="Arial" w:hAnsi="Arial" w:cs="Arial"/>
          <w:b/>
          <w:spacing w:val="-3"/>
          <w:sz w:val="20"/>
        </w:rPr>
        <w:t>Enrique Álvarez del Castillo</w:t>
      </w:r>
      <w:r w:rsidRPr="009E70FD">
        <w:rPr>
          <w:rFonts w:ascii="Arial" w:hAnsi="Arial" w:cs="Arial"/>
          <w:spacing w:val="-3"/>
          <w:sz w:val="20"/>
        </w:rPr>
        <w:t>, Gobernador Constitucional del Estado Libre y Soberano de Jalisco, a los habitantes del mismo hago saber:</w:t>
      </w:r>
    </w:p>
    <w:p w:rsidR="00740A62" w:rsidRPr="009E70FD" w:rsidRDefault="00740A62" w:rsidP="00740A62">
      <w:pPr>
        <w:suppressAutoHyphens/>
        <w:jc w:val="both"/>
        <w:rPr>
          <w:rFonts w:ascii="Arial" w:hAnsi="Arial" w:cs="Arial"/>
          <w:spacing w:val="-3"/>
          <w:sz w:val="20"/>
        </w:rPr>
      </w:pPr>
    </w:p>
    <w:p w:rsidR="00740A62" w:rsidRPr="009E70FD" w:rsidRDefault="00740A62" w:rsidP="00740A62">
      <w:pPr>
        <w:suppressAutoHyphens/>
        <w:jc w:val="both"/>
        <w:rPr>
          <w:rFonts w:ascii="Arial" w:hAnsi="Arial" w:cs="Arial"/>
          <w:spacing w:val="-3"/>
          <w:sz w:val="20"/>
        </w:rPr>
      </w:pPr>
      <w:r w:rsidRPr="009E70FD">
        <w:rPr>
          <w:rFonts w:ascii="Arial" w:hAnsi="Arial" w:cs="Arial"/>
          <w:spacing w:val="-3"/>
          <w:sz w:val="20"/>
        </w:rPr>
        <w:t>Que por la Secretaría del H. Congreso del Estado se me ha comunicado el siguiente</w:t>
      </w:r>
    </w:p>
    <w:p w:rsidR="00740A62" w:rsidRPr="009E70FD" w:rsidRDefault="00740A62" w:rsidP="00740A62">
      <w:pPr>
        <w:suppressAutoHyphens/>
        <w:jc w:val="both"/>
        <w:rPr>
          <w:rFonts w:ascii="Arial" w:hAnsi="Arial" w:cs="Arial"/>
          <w:b/>
          <w:spacing w:val="-3"/>
          <w:sz w:val="20"/>
        </w:rPr>
      </w:pPr>
    </w:p>
    <w:p w:rsidR="00740A62" w:rsidRPr="009E70FD" w:rsidRDefault="00740A62" w:rsidP="00740A62">
      <w:pPr>
        <w:tabs>
          <w:tab w:val="center" w:pos="4513"/>
        </w:tabs>
        <w:suppressAutoHyphens/>
        <w:jc w:val="both"/>
        <w:rPr>
          <w:rFonts w:ascii="Arial" w:hAnsi="Arial" w:cs="Arial"/>
          <w:b/>
          <w:spacing w:val="-3"/>
          <w:sz w:val="20"/>
        </w:rPr>
      </w:pPr>
      <w:r w:rsidRPr="009E70FD">
        <w:rPr>
          <w:rFonts w:ascii="Arial" w:hAnsi="Arial" w:cs="Arial"/>
          <w:b/>
          <w:spacing w:val="-3"/>
          <w:sz w:val="20"/>
        </w:rPr>
        <w:tab/>
        <w:t>DECRETO</w:t>
      </w:r>
    </w:p>
    <w:p w:rsidR="00740A62" w:rsidRPr="009E70FD" w:rsidRDefault="00740A62" w:rsidP="00740A62">
      <w:pPr>
        <w:tabs>
          <w:tab w:val="left" w:pos="-720"/>
        </w:tabs>
        <w:suppressAutoHyphens/>
        <w:jc w:val="both"/>
        <w:rPr>
          <w:rFonts w:ascii="Arial" w:hAnsi="Arial" w:cs="Arial"/>
          <w:spacing w:val="-3"/>
          <w:sz w:val="20"/>
        </w:rPr>
      </w:pPr>
    </w:p>
    <w:p w:rsidR="00740A62" w:rsidRPr="009E70FD" w:rsidRDefault="00740A62" w:rsidP="00740A62">
      <w:pPr>
        <w:tabs>
          <w:tab w:val="left" w:pos="-720"/>
        </w:tabs>
        <w:suppressAutoHyphens/>
        <w:jc w:val="both"/>
        <w:rPr>
          <w:rFonts w:ascii="Arial" w:hAnsi="Arial" w:cs="Arial"/>
          <w:b/>
          <w:spacing w:val="-3"/>
          <w:sz w:val="20"/>
        </w:rPr>
      </w:pPr>
      <w:r w:rsidRPr="009E70FD">
        <w:rPr>
          <w:rFonts w:ascii="Arial" w:hAnsi="Arial" w:cs="Arial"/>
          <w:b/>
          <w:spacing w:val="-3"/>
          <w:sz w:val="20"/>
        </w:rPr>
        <w:t>Número 11559.- El Congreso del Estado decreta:</w:t>
      </w:r>
    </w:p>
    <w:p w:rsidR="00740A62" w:rsidRPr="009E70FD" w:rsidRDefault="00740A62" w:rsidP="00740A62">
      <w:pPr>
        <w:tabs>
          <w:tab w:val="left" w:pos="-720"/>
        </w:tabs>
        <w:suppressAutoHyphens/>
        <w:jc w:val="both"/>
        <w:rPr>
          <w:rFonts w:ascii="Arial" w:hAnsi="Arial" w:cs="Arial"/>
          <w:spacing w:val="-3"/>
          <w:sz w:val="20"/>
        </w:rPr>
      </w:pPr>
    </w:p>
    <w:p w:rsidR="00740A62" w:rsidRPr="009E70FD" w:rsidRDefault="00740A62" w:rsidP="00740A62">
      <w:pPr>
        <w:tabs>
          <w:tab w:val="left" w:pos="-720"/>
        </w:tabs>
        <w:suppressAutoHyphens/>
        <w:jc w:val="center"/>
        <w:rPr>
          <w:rFonts w:ascii="Arial" w:hAnsi="Arial" w:cs="Arial"/>
          <w:b/>
          <w:spacing w:val="-3"/>
          <w:sz w:val="20"/>
        </w:rPr>
      </w:pPr>
      <w:r w:rsidRPr="009E70FD">
        <w:rPr>
          <w:rFonts w:ascii="Arial" w:hAnsi="Arial" w:cs="Arial"/>
          <w:b/>
          <w:spacing w:val="-3"/>
          <w:sz w:val="20"/>
        </w:rPr>
        <w:t>LEY PARA LOS SERVIDORES PÚBLICOS DEL ESTADO</w:t>
      </w:r>
    </w:p>
    <w:p w:rsidR="00740A62" w:rsidRPr="009E70FD" w:rsidRDefault="00740A62" w:rsidP="00740A62">
      <w:pPr>
        <w:tabs>
          <w:tab w:val="left" w:pos="-720"/>
        </w:tabs>
        <w:suppressAutoHyphens/>
        <w:jc w:val="center"/>
        <w:rPr>
          <w:rFonts w:ascii="Arial" w:hAnsi="Arial" w:cs="Arial"/>
          <w:b/>
          <w:spacing w:val="-3"/>
          <w:sz w:val="20"/>
        </w:rPr>
      </w:pPr>
      <w:r w:rsidRPr="009E70FD">
        <w:rPr>
          <w:rFonts w:ascii="Arial" w:hAnsi="Arial" w:cs="Arial"/>
          <w:b/>
          <w:spacing w:val="-3"/>
          <w:sz w:val="20"/>
        </w:rPr>
        <w:t>DE JALISCO Y SUS MUNICIPIOS</w:t>
      </w: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Pr="009E70FD" w:rsidRDefault="00740A62" w:rsidP="00740A62">
      <w:pPr>
        <w:tabs>
          <w:tab w:val="left" w:pos="-720"/>
        </w:tabs>
        <w:suppressAutoHyphens/>
        <w:jc w:val="center"/>
        <w:rPr>
          <w:rFonts w:ascii="Arial" w:hAnsi="Arial" w:cs="Arial"/>
          <w:b/>
          <w:spacing w:val="-3"/>
          <w:sz w:val="20"/>
        </w:rPr>
      </w:pPr>
      <w:r w:rsidRPr="009E70FD">
        <w:rPr>
          <w:rFonts w:ascii="Arial" w:hAnsi="Arial" w:cs="Arial"/>
          <w:b/>
          <w:spacing w:val="-3"/>
          <w:sz w:val="20"/>
        </w:rPr>
        <w:t>CAPÍTULO IV</w:t>
      </w:r>
    </w:p>
    <w:p w:rsidR="00740A62" w:rsidRPr="005B2FBF" w:rsidRDefault="00740A62" w:rsidP="00740A62">
      <w:pPr>
        <w:pStyle w:val="Ttulo2"/>
        <w:tabs>
          <w:tab w:val="left" w:pos="-720"/>
        </w:tabs>
        <w:suppressAutoHyphens/>
        <w:jc w:val="center"/>
        <w:rPr>
          <w:rFonts w:cs="Arial"/>
          <w:color w:val="000000" w:themeColor="text1"/>
          <w:spacing w:val="-3"/>
        </w:rPr>
      </w:pPr>
      <w:r w:rsidRPr="005B2FBF">
        <w:rPr>
          <w:rFonts w:cs="Arial"/>
          <w:color w:val="000000" w:themeColor="text1"/>
          <w:spacing w:val="-3"/>
        </w:rPr>
        <w:t>DE LOS SUELDOS</w:t>
      </w:r>
    </w:p>
    <w:p w:rsidR="00740A62" w:rsidRPr="009E70FD" w:rsidRDefault="00740A62" w:rsidP="00740A62">
      <w:pPr>
        <w:tabs>
          <w:tab w:val="left" w:pos="-720"/>
        </w:tabs>
        <w:suppressAutoHyphens/>
        <w:jc w:val="both"/>
        <w:rPr>
          <w:rFonts w:ascii="Arial" w:hAnsi="Arial" w:cs="Arial"/>
          <w:spacing w:val="-3"/>
          <w:sz w:val="20"/>
        </w:rPr>
      </w:pPr>
    </w:p>
    <w:p w:rsidR="00740A62" w:rsidRPr="009E70FD" w:rsidRDefault="00740A62" w:rsidP="00740A62">
      <w:pPr>
        <w:rPr>
          <w:rFonts w:ascii="Arial" w:hAnsi="Arial" w:cs="Arial"/>
          <w:sz w:val="20"/>
        </w:rPr>
      </w:pPr>
      <w:r w:rsidRPr="009E70FD">
        <w:rPr>
          <w:rFonts w:ascii="Arial" w:hAnsi="Arial" w:cs="Arial"/>
          <w:b/>
          <w:sz w:val="20"/>
        </w:rPr>
        <w:t>Artículo 45.</w:t>
      </w:r>
      <w:r w:rsidRPr="009E70FD">
        <w:rPr>
          <w:rFonts w:ascii="Arial" w:hAnsi="Arial" w:cs="Arial"/>
          <w:sz w:val="20"/>
        </w:rPr>
        <w:t xml:space="preserve"> Sueldo es la remuneración o retribución que debe pagarse al servidor público por los servicios prestados. Dicha remuneración debe ser adecuada, irrenunciable y proporcional a sus responsabilidades por el desempeño de su función, empleo, cargo o comisión.</w:t>
      </w:r>
    </w:p>
    <w:p w:rsidR="00740A62" w:rsidRPr="009E70FD" w:rsidRDefault="00740A62" w:rsidP="00740A62">
      <w:pPr>
        <w:jc w:val="both"/>
        <w:rPr>
          <w:rFonts w:ascii="Arial" w:hAnsi="Arial" w:cs="Arial"/>
          <w:sz w:val="20"/>
        </w:rPr>
      </w:pPr>
    </w:p>
    <w:p w:rsidR="00740A62" w:rsidRPr="009E70FD" w:rsidRDefault="00740A62" w:rsidP="00740A62">
      <w:pPr>
        <w:jc w:val="both"/>
        <w:rPr>
          <w:rFonts w:ascii="Arial" w:hAnsi="Arial" w:cs="Arial"/>
          <w:sz w:val="20"/>
        </w:rPr>
      </w:pPr>
      <w:r w:rsidRPr="009E70FD">
        <w:rPr>
          <w:rFonts w:ascii="Arial" w:hAnsi="Arial" w:cs="Arial"/>
          <w:b/>
          <w:sz w:val="20"/>
        </w:rPr>
        <w:t>Artículo 46</w:t>
      </w:r>
      <w:r w:rsidRPr="009E70FD">
        <w:rPr>
          <w:rFonts w:ascii="Arial" w:hAnsi="Arial" w:cs="Arial"/>
          <w:sz w:val="20"/>
        </w:rPr>
        <w:t>.- El sueldo para los servidores públicos será determinado anual y equitativamente en los presupuestos de egresos correspondientes, bajo las siguientes bases:</w:t>
      </w:r>
    </w:p>
    <w:p w:rsidR="00740A62" w:rsidRPr="009E70FD" w:rsidRDefault="00740A62" w:rsidP="00740A62">
      <w:pPr>
        <w:jc w:val="both"/>
        <w:rPr>
          <w:rFonts w:ascii="Arial" w:hAnsi="Arial" w:cs="Arial"/>
          <w:sz w:val="20"/>
        </w:rPr>
      </w:pPr>
    </w:p>
    <w:p w:rsidR="00740A62" w:rsidRPr="009E70FD" w:rsidRDefault="00740A62" w:rsidP="00740A62">
      <w:pPr>
        <w:jc w:val="both"/>
        <w:rPr>
          <w:rFonts w:ascii="Arial" w:hAnsi="Arial" w:cs="Arial"/>
          <w:sz w:val="20"/>
        </w:rPr>
      </w:pPr>
      <w:r w:rsidRPr="009E70FD">
        <w:rPr>
          <w:rFonts w:ascii="Arial" w:hAnsi="Arial" w:cs="Arial"/>
          <w:sz w:val="20"/>
        </w:rPr>
        <w:t>I. Se considera remuneración o retribución toda percepción en efectivo o en especie, incluyendo salarios, dietas, aguinaldos, gratificaciones, premios, recompensas, bonos, estímulos, comisiones, compensaciones y cualquier otra prestación, con excepción de los apoyos y los gastos sujetos a comprobación que sean propios del desarrollo del trabajo y los gastos de viaje en actividades oficiales;</w:t>
      </w:r>
    </w:p>
    <w:p w:rsidR="00740A62" w:rsidRPr="009E70FD" w:rsidRDefault="00740A62" w:rsidP="00740A62">
      <w:pPr>
        <w:jc w:val="both"/>
        <w:rPr>
          <w:rFonts w:ascii="Arial" w:hAnsi="Arial" w:cs="Arial"/>
          <w:sz w:val="20"/>
        </w:rPr>
      </w:pPr>
    </w:p>
    <w:p w:rsidR="00740A62" w:rsidRPr="009E70FD" w:rsidRDefault="00740A62" w:rsidP="00740A62">
      <w:pPr>
        <w:jc w:val="both"/>
        <w:rPr>
          <w:rFonts w:ascii="Arial" w:hAnsi="Arial" w:cs="Arial"/>
          <w:sz w:val="20"/>
        </w:rPr>
      </w:pPr>
      <w:r w:rsidRPr="009E70FD">
        <w:rPr>
          <w:rFonts w:ascii="Arial" w:hAnsi="Arial" w:cs="Arial"/>
          <w:sz w:val="20"/>
        </w:rPr>
        <w:t>II. Ningún servidor público podrá recibir remuneración, en términos de la fracción anterior, por el desempeño de su función, empleo, cargo o comisión, mayor a la establecida para el Gobernador del Estado en el presupuesto correspondiente;</w:t>
      </w:r>
    </w:p>
    <w:p w:rsidR="00740A62" w:rsidRPr="009E70FD" w:rsidRDefault="00740A62" w:rsidP="00740A62">
      <w:pPr>
        <w:jc w:val="both"/>
        <w:rPr>
          <w:rFonts w:ascii="Arial" w:hAnsi="Arial" w:cs="Arial"/>
          <w:sz w:val="20"/>
        </w:rPr>
      </w:pPr>
    </w:p>
    <w:p w:rsidR="00740A62" w:rsidRPr="009E70FD" w:rsidRDefault="00740A62" w:rsidP="00740A62">
      <w:pPr>
        <w:jc w:val="both"/>
        <w:rPr>
          <w:rFonts w:ascii="Arial" w:hAnsi="Arial" w:cs="Arial"/>
          <w:sz w:val="20"/>
        </w:rPr>
      </w:pPr>
      <w:r w:rsidRPr="009E70FD">
        <w:rPr>
          <w:rFonts w:ascii="Arial" w:hAnsi="Arial" w:cs="Arial"/>
          <w:sz w:val="20"/>
        </w:rPr>
        <w:t>III. Ningún servidor público podrá tener una remuneración igual o mayor al Gobernador o a su superior jerárquico, salvo que el excedente sea consecuencia del desempeño de varios empleos públicos; que su remuneración sea producto de las condiciones generales de trabajo; que sea derivado de un trabajo técnico calificado; o, sea resultado de la especialización en su función. El excedente no deberá ser mayor a la mitad de la remuneración establecida para que el Gobernador del Estado en el presupuesto correspondiente;</w:t>
      </w:r>
    </w:p>
    <w:p w:rsidR="00740A62" w:rsidRPr="009E70FD" w:rsidRDefault="00740A62" w:rsidP="00740A62">
      <w:pPr>
        <w:jc w:val="both"/>
        <w:rPr>
          <w:rFonts w:ascii="Arial" w:hAnsi="Arial" w:cs="Arial"/>
          <w:sz w:val="20"/>
        </w:rPr>
      </w:pPr>
    </w:p>
    <w:p w:rsidR="00740A62" w:rsidRPr="009E70FD" w:rsidRDefault="00740A62" w:rsidP="00740A62">
      <w:pPr>
        <w:jc w:val="both"/>
        <w:rPr>
          <w:rFonts w:ascii="Arial" w:hAnsi="Arial" w:cs="Arial"/>
          <w:sz w:val="20"/>
        </w:rPr>
      </w:pPr>
      <w:r w:rsidRPr="009E70FD">
        <w:rPr>
          <w:rFonts w:ascii="Arial" w:hAnsi="Arial" w:cs="Arial"/>
          <w:sz w:val="20"/>
        </w:rPr>
        <w:t>IV. Las remuneraciones y sus tabuladores serán públicos, respetando los datos personales, y deberán especificar y diferenciar la totalidad de sus elementos fijos y variables tanto en efectivo como en especie; y</w:t>
      </w:r>
    </w:p>
    <w:p w:rsidR="00740A62" w:rsidRPr="009E70FD" w:rsidRDefault="00740A62" w:rsidP="00740A62">
      <w:pPr>
        <w:jc w:val="both"/>
        <w:rPr>
          <w:rFonts w:ascii="Arial" w:hAnsi="Arial" w:cs="Arial"/>
          <w:sz w:val="20"/>
        </w:rPr>
      </w:pPr>
    </w:p>
    <w:p w:rsidR="00740A62" w:rsidRPr="009E70FD" w:rsidRDefault="00740A62" w:rsidP="00740A62">
      <w:pPr>
        <w:jc w:val="both"/>
        <w:rPr>
          <w:rFonts w:ascii="Arial" w:hAnsi="Arial" w:cs="Arial"/>
          <w:sz w:val="20"/>
        </w:rPr>
      </w:pPr>
      <w:r w:rsidRPr="009E70FD">
        <w:rPr>
          <w:rFonts w:ascii="Arial" w:hAnsi="Arial" w:cs="Arial"/>
          <w:sz w:val="20"/>
        </w:rPr>
        <w:lastRenderedPageBreak/>
        <w:t>V. Ningún servidor público podrá percibir remuneración adicional alguna por el desempeño de los cargos, comisiones, representaciones o alguna otra función similar, que ocupe de manera inherente, derivada o complementaria al cargo principal;</w:t>
      </w:r>
    </w:p>
    <w:p w:rsidR="00740A62" w:rsidRPr="009E70FD" w:rsidRDefault="00740A62" w:rsidP="00740A62">
      <w:pPr>
        <w:jc w:val="both"/>
        <w:rPr>
          <w:rFonts w:ascii="Arial" w:hAnsi="Arial" w:cs="Arial"/>
          <w:sz w:val="20"/>
        </w:rPr>
      </w:pPr>
    </w:p>
    <w:p w:rsidR="00740A62" w:rsidRPr="009E70FD" w:rsidRDefault="00740A62" w:rsidP="00740A62">
      <w:pPr>
        <w:jc w:val="both"/>
        <w:rPr>
          <w:rFonts w:ascii="Arial" w:hAnsi="Arial" w:cs="Arial"/>
          <w:sz w:val="20"/>
        </w:rPr>
      </w:pPr>
      <w:r w:rsidRPr="009E70FD">
        <w:rPr>
          <w:rFonts w:ascii="Arial" w:hAnsi="Arial" w:cs="Arial"/>
          <w:sz w:val="20"/>
        </w:rPr>
        <w:t>El sueldo de los servidores públicos, en ningún caso puede ser disminuido, pero sí puede permanecer sin variaciones las anualidades que sean necesarias, a fin de ajustarse a los principios establecidos en el presente artículo.</w:t>
      </w:r>
    </w:p>
    <w:p w:rsidR="00740A62" w:rsidRPr="009E70FD" w:rsidRDefault="00740A62" w:rsidP="00740A62">
      <w:pPr>
        <w:jc w:val="both"/>
        <w:rPr>
          <w:rFonts w:ascii="Arial" w:hAnsi="Arial" w:cs="Arial"/>
          <w:sz w:val="20"/>
        </w:rPr>
      </w:pPr>
    </w:p>
    <w:p w:rsidR="00740A62" w:rsidRPr="009E70FD" w:rsidRDefault="00740A62" w:rsidP="00740A62">
      <w:pPr>
        <w:jc w:val="both"/>
        <w:rPr>
          <w:rFonts w:ascii="Arial" w:hAnsi="Arial" w:cs="Arial"/>
          <w:sz w:val="20"/>
        </w:rPr>
      </w:pPr>
      <w:r w:rsidRPr="009E70FD">
        <w:rPr>
          <w:rFonts w:ascii="Arial" w:hAnsi="Arial" w:cs="Arial"/>
          <w:sz w:val="20"/>
        </w:rPr>
        <w:t>Es causal de responsabilidad administrativa en los términos de la ley de la materia, establecer en los presupuestos de egresos o autorizar el pago de ingresos extraordinarios o por el fin del encargo, adicionales a la remuneración. En igual responsabilidad incurre el servidor que reciba este tipo de percepciones.</w:t>
      </w:r>
    </w:p>
    <w:p w:rsidR="00740A62" w:rsidRPr="009E70FD" w:rsidRDefault="00740A62" w:rsidP="00740A62">
      <w:pPr>
        <w:jc w:val="both"/>
        <w:rPr>
          <w:rFonts w:ascii="Arial" w:hAnsi="Arial" w:cs="Arial"/>
          <w:sz w:val="20"/>
        </w:rPr>
      </w:pPr>
    </w:p>
    <w:p w:rsidR="00740A62" w:rsidRDefault="00740A62" w:rsidP="00740A62">
      <w:pPr>
        <w:jc w:val="both"/>
        <w:rPr>
          <w:rFonts w:ascii="Arial" w:hAnsi="Arial" w:cs="Arial"/>
          <w:sz w:val="20"/>
        </w:rPr>
      </w:pPr>
      <w:r w:rsidRPr="009E70FD">
        <w:rPr>
          <w:rFonts w:ascii="Arial" w:hAnsi="Arial" w:cs="Arial"/>
          <w:sz w:val="20"/>
        </w:rPr>
        <w:t>Las sanciones que se apliquen de conformidad con el párrafo anterior son independientes de las que procedan en caso de configurarse responsabilidad política, penal o civil.</w:t>
      </w:r>
    </w:p>
    <w:p w:rsidR="00740A62" w:rsidRDefault="00740A62" w:rsidP="00740A62">
      <w:pPr>
        <w:jc w:val="both"/>
        <w:rPr>
          <w:rFonts w:ascii="Arial" w:hAnsi="Arial" w:cs="Arial"/>
          <w:sz w:val="20"/>
        </w:rPr>
      </w:pPr>
    </w:p>
    <w:p w:rsidR="00740A62" w:rsidRPr="0066074D" w:rsidRDefault="00740A62" w:rsidP="00740A62">
      <w:pPr>
        <w:pStyle w:val="Ttulo2"/>
        <w:tabs>
          <w:tab w:val="left" w:pos="-720"/>
        </w:tabs>
        <w:suppressAutoHyphens/>
        <w:jc w:val="center"/>
        <w:rPr>
          <w:rFonts w:cs="Arial"/>
          <w:color w:val="000000" w:themeColor="text1"/>
          <w:spacing w:val="-3"/>
        </w:rPr>
      </w:pPr>
      <w:r w:rsidRPr="0066074D">
        <w:rPr>
          <w:rFonts w:cs="Arial"/>
          <w:color w:val="000000" w:themeColor="text1"/>
          <w:spacing w:val="-3"/>
        </w:rPr>
        <w:t>CAPÍTULO II</w:t>
      </w:r>
    </w:p>
    <w:p w:rsidR="00740A62" w:rsidRPr="009E70FD" w:rsidRDefault="00740A62" w:rsidP="00740A62">
      <w:pPr>
        <w:tabs>
          <w:tab w:val="left" w:pos="-720"/>
        </w:tabs>
        <w:suppressAutoHyphens/>
        <w:jc w:val="center"/>
        <w:rPr>
          <w:rFonts w:ascii="Arial" w:hAnsi="Arial" w:cs="Arial"/>
          <w:spacing w:val="-3"/>
          <w:sz w:val="20"/>
        </w:rPr>
      </w:pPr>
      <w:r w:rsidRPr="009E70FD">
        <w:rPr>
          <w:rFonts w:ascii="Arial" w:hAnsi="Arial" w:cs="Arial"/>
          <w:b/>
          <w:spacing w:val="-3"/>
          <w:sz w:val="20"/>
        </w:rPr>
        <w:t>DEL ESCALAFÓN</w:t>
      </w:r>
    </w:p>
    <w:p w:rsidR="00740A62" w:rsidRPr="009E70FD" w:rsidRDefault="00740A62" w:rsidP="00740A62">
      <w:pPr>
        <w:tabs>
          <w:tab w:val="left" w:pos="-720"/>
        </w:tabs>
        <w:suppressAutoHyphens/>
        <w:jc w:val="both"/>
        <w:rPr>
          <w:rFonts w:ascii="Arial" w:hAnsi="Arial" w:cs="Arial"/>
          <w:spacing w:val="-3"/>
          <w:sz w:val="20"/>
        </w:rPr>
      </w:pPr>
    </w:p>
    <w:p w:rsidR="00740A62" w:rsidRPr="009E70FD" w:rsidRDefault="00740A62" w:rsidP="00740A62">
      <w:pPr>
        <w:tabs>
          <w:tab w:val="left" w:pos="-720"/>
        </w:tabs>
        <w:suppressAutoHyphens/>
        <w:jc w:val="both"/>
        <w:rPr>
          <w:rFonts w:ascii="Arial" w:hAnsi="Arial" w:cs="Arial"/>
          <w:spacing w:val="-3"/>
          <w:sz w:val="20"/>
        </w:rPr>
      </w:pPr>
      <w:r w:rsidRPr="009E70FD">
        <w:rPr>
          <w:rFonts w:ascii="Arial" w:hAnsi="Arial" w:cs="Arial"/>
          <w:b/>
          <w:bCs/>
          <w:spacing w:val="-3"/>
          <w:sz w:val="20"/>
        </w:rPr>
        <w:t>Artículo 57</w:t>
      </w:r>
      <w:r w:rsidRPr="009E70FD">
        <w:rPr>
          <w:rFonts w:ascii="Arial" w:hAnsi="Arial" w:cs="Arial"/>
          <w:spacing w:val="-3"/>
          <w:sz w:val="20"/>
        </w:rPr>
        <w:t>.</w:t>
      </w:r>
      <w:r w:rsidRPr="009E70FD">
        <w:rPr>
          <w:rFonts w:ascii="Arial" w:hAnsi="Arial" w:cs="Arial"/>
          <w:spacing w:val="-3"/>
          <w:sz w:val="20"/>
        </w:rPr>
        <w:noBreakHyphen/>
        <w:t xml:space="preserve">  Para los efectos de este ordenamiento, se entiende por escalafón el sistema organizado en cada Entidad Pública para efectuar las promociones de ascensos de los servidores, y todo aquello relacionado con los cambios y movimientos de los mismos, conforme a las bases establecidas en el reglamento respectivo.</w:t>
      </w:r>
    </w:p>
    <w:p w:rsidR="00740A62" w:rsidRPr="009E70FD" w:rsidRDefault="00740A62" w:rsidP="00740A62">
      <w:pPr>
        <w:tabs>
          <w:tab w:val="left" w:pos="-720"/>
        </w:tabs>
        <w:suppressAutoHyphens/>
        <w:jc w:val="both"/>
        <w:rPr>
          <w:rFonts w:ascii="Arial" w:hAnsi="Arial" w:cs="Arial"/>
          <w:spacing w:val="-3"/>
          <w:sz w:val="20"/>
        </w:rPr>
      </w:pPr>
    </w:p>
    <w:p w:rsidR="00740A62" w:rsidRPr="009E70FD" w:rsidRDefault="00740A62" w:rsidP="00740A62">
      <w:pPr>
        <w:tabs>
          <w:tab w:val="left" w:pos="-720"/>
        </w:tabs>
        <w:suppressAutoHyphens/>
        <w:jc w:val="both"/>
        <w:rPr>
          <w:rFonts w:ascii="Arial" w:hAnsi="Arial" w:cs="Arial"/>
          <w:spacing w:val="-3"/>
          <w:sz w:val="20"/>
        </w:rPr>
      </w:pPr>
      <w:r w:rsidRPr="009E70FD">
        <w:rPr>
          <w:rFonts w:ascii="Arial" w:hAnsi="Arial" w:cs="Arial"/>
          <w:spacing w:val="-3"/>
          <w:sz w:val="20"/>
        </w:rPr>
        <w:t xml:space="preserve">Los puestos vacantes o de nueva creación no podrán ser propuestos simultáneamente en el sistema </w:t>
      </w:r>
      <w:proofErr w:type="spellStart"/>
      <w:r w:rsidRPr="009E70FD">
        <w:rPr>
          <w:rFonts w:ascii="Arial" w:hAnsi="Arial" w:cs="Arial"/>
          <w:spacing w:val="-3"/>
          <w:sz w:val="20"/>
        </w:rPr>
        <w:t>escalafonario</w:t>
      </w:r>
      <w:proofErr w:type="spellEnd"/>
      <w:r w:rsidRPr="009E70FD">
        <w:rPr>
          <w:rFonts w:ascii="Arial" w:hAnsi="Arial" w:cs="Arial"/>
          <w:spacing w:val="-3"/>
          <w:sz w:val="20"/>
        </w:rPr>
        <w:t xml:space="preserve"> y en el Servicio Civil de Carrera.</w:t>
      </w:r>
    </w:p>
    <w:p w:rsidR="00740A62" w:rsidRPr="009E70FD" w:rsidRDefault="00740A62" w:rsidP="00740A62">
      <w:pPr>
        <w:tabs>
          <w:tab w:val="left" w:pos="-720"/>
        </w:tabs>
        <w:suppressAutoHyphens/>
        <w:jc w:val="both"/>
        <w:rPr>
          <w:rFonts w:ascii="Arial" w:hAnsi="Arial" w:cs="Arial"/>
          <w:spacing w:val="-3"/>
          <w:sz w:val="20"/>
        </w:rPr>
      </w:pPr>
    </w:p>
    <w:p w:rsidR="00740A62" w:rsidRPr="009E70FD" w:rsidRDefault="00740A62" w:rsidP="00740A62">
      <w:pPr>
        <w:tabs>
          <w:tab w:val="left" w:pos="-720"/>
        </w:tabs>
        <w:suppressAutoHyphens/>
        <w:jc w:val="both"/>
        <w:rPr>
          <w:rFonts w:ascii="Arial" w:hAnsi="Arial" w:cs="Arial"/>
          <w:spacing w:val="-3"/>
          <w:sz w:val="20"/>
        </w:rPr>
      </w:pPr>
      <w:r w:rsidRPr="009E70FD">
        <w:rPr>
          <w:rFonts w:ascii="Arial" w:hAnsi="Arial" w:cs="Arial"/>
          <w:b/>
          <w:bCs/>
          <w:spacing w:val="-3"/>
          <w:sz w:val="20"/>
        </w:rPr>
        <w:t>Artículo 58</w:t>
      </w:r>
      <w:r w:rsidRPr="009E70FD">
        <w:rPr>
          <w:rFonts w:ascii="Arial" w:hAnsi="Arial" w:cs="Arial"/>
          <w:spacing w:val="-3"/>
          <w:sz w:val="20"/>
        </w:rPr>
        <w:t>.</w:t>
      </w:r>
      <w:r w:rsidRPr="009E70FD">
        <w:rPr>
          <w:rFonts w:ascii="Arial" w:hAnsi="Arial" w:cs="Arial"/>
          <w:spacing w:val="-3"/>
          <w:sz w:val="20"/>
        </w:rPr>
        <w:noBreakHyphen/>
        <w:t xml:space="preserve">  En cada Entidad Pública se constituirá una Comisión Mixta de Escalafón que se integrará con un representante de la Entidad, otro por el Sindicato de la Unidad Burocrática que corresponda y un tercero, que nombrarán los anteriores miembros. Si hubiere desacuerdo entre los integrantes de la Comisión, el Tribunal de Arbitraje y Escalafón resolverá en definitiva la controversia, con  excepción de lo relativo a los servidores públicos que pertenezcan a los Tribunales a que se refiere el primer párrafo  del artículo 39, de la Constitución Política del Estado, toda vez que será el Pleno del Supremo Tribunal de Justicia del Estado quien las resuelva los integrantes de la Comisión durarán en su encargo tres años.</w:t>
      </w:r>
    </w:p>
    <w:p w:rsidR="00740A62" w:rsidRPr="009E70FD" w:rsidRDefault="00740A62" w:rsidP="00740A62">
      <w:pPr>
        <w:tabs>
          <w:tab w:val="left" w:pos="-720"/>
        </w:tabs>
        <w:suppressAutoHyphens/>
        <w:ind w:firstLine="426"/>
        <w:jc w:val="both"/>
        <w:rPr>
          <w:rFonts w:ascii="Arial" w:hAnsi="Arial" w:cs="Arial"/>
          <w:spacing w:val="-3"/>
          <w:sz w:val="20"/>
        </w:rPr>
      </w:pPr>
    </w:p>
    <w:p w:rsidR="00740A62" w:rsidRPr="009E70FD" w:rsidRDefault="00740A62" w:rsidP="00740A62">
      <w:pPr>
        <w:tabs>
          <w:tab w:val="left" w:pos="-720"/>
        </w:tabs>
        <w:suppressAutoHyphens/>
        <w:jc w:val="both"/>
        <w:rPr>
          <w:rFonts w:ascii="Arial" w:hAnsi="Arial" w:cs="Arial"/>
          <w:spacing w:val="-3"/>
          <w:sz w:val="20"/>
        </w:rPr>
      </w:pPr>
      <w:r w:rsidRPr="009E70FD">
        <w:rPr>
          <w:rFonts w:ascii="Arial" w:hAnsi="Arial" w:cs="Arial"/>
          <w:b/>
          <w:bCs/>
          <w:spacing w:val="-3"/>
          <w:sz w:val="20"/>
        </w:rPr>
        <w:t>Artículo 59</w:t>
      </w:r>
      <w:r w:rsidRPr="009E70FD">
        <w:rPr>
          <w:rFonts w:ascii="Arial" w:hAnsi="Arial" w:cs="Arial"/>
          <w:spacing w:val="-3"/>
          <w:sz w:val="20"/>
        </w:rPr>
        <w:t>.</w:t>
      </w:r>
      <w:r w:rsidRPr="009E70FD">
        <w:rPr>
          <w:rFonts w:ascii="Arial" w:hAnsi="Arial" w:cs="Arial"/>
          <w:spacing w:val="-3"/>
          <w:sz w:val="20"/>
        </w:rPr>
        <w:noBreakHyphen/>
        <w:t xml:space="preserve">  Cuando surja una vacante por licencia, y ésta no exceda de seis meses, no se moverá el escalafón y el Titular de la Entidad Pública podrá otorgar nombramiento provisional, a favor de cualquier persona competente para que cubra el interinato.</w:t>
      </w:r>
    </w:p>
    <w:p w:rsidR="00740A62" w:rsidRPr="009E70FD" w:rsidRDefault="00740A62" w:rsidP="00740A62">
      <w:pPr>
        <w:tabs>
          <w:tab w:val="left" w:pos="-720"/>
        </w:tabs>
        <w:suppressAutoHyphens/>
        <w:jc w:val="both"/>
        <w:rPr>
          <w:rFonts w:ascii="Arial" w:hAnsi="Arial" w:cs="Arial"/>
          <w:spacing w:val="-3"/>
          <w:sz w:val="20"/>
        </w:rPr>
      </w:pPr>
    </w:p>
    <w:p w:rsidR="00740A62" w:rsidRPr="009E70FD" w:rsidRDefault="00740A62" w:rsidP="00740A62">
      <w:pPr>
        <w:tabs>
          <w:tab w:val="left" w:pos="-720"/>
        </w:tabs>
        <w:suppressAutoHyphens/>
        <w:jc w:val="both"/>
        <w:rPr>
          <w:rFonts w:ascii="Arial" w:hAnsi="Arial" w:cs="Arial"/>
          <w:spacing w:val="-3"/>
          <w:sz w:val="20"/>
        </w:rPr>
      </w:pPr>
      <w:r w:rsidRPr="009E70FD">
        <w:rPr>
          <w:rFonts w:ascii="Arial" w:hAnsi="Arial" w:cs="Arial"/>
          <w:b/>
          <w:bCs/>
          <w:spacing w:val="-3"/>
          <w:sz w:val="20"/>
        </w:rPr>
        <w:t>Artículo 60</w:t>
      </w:r>
      <w:r w:rsidRPr="009E70FD">
        <w:rPr>
          <w:rFonts w:ascii="Arial" w:hAnsi="Arial" w:cs="Arial"/>
          <w:spacing w:val="-3"/>
          <w:sz w:val="20"/>
        </w:rPr>
        <w:t>.</w:t>
      </w:r>
      <w:r w:rsidRPr="009E70FD">
        <w:rPr>
          <w:rFonts w:ascii="Arial" w:hAnsi="Arial" w:cs="Arial"/>
          <w:spacing w:val="-3"/>
          <w:sz w:val="20"/>
        </w:rPr>
        <w:noBreakHyphen/>
        <w:t xml:space="preserve"> Son factores </w:t>
      </w:r>
      <w:proofErr w:type="spellStart"/>
      <w:r w:rsidRPr="009E70FD">
        <w:rPr>
          <w:rFonts w:ascii="Arial" w:hAnsi="Arial" w:cs="Arial"/>
          <w:spacing w:val="-3"/>
          <w:sz w:val="20"/>
        </w:rPr>
        <w:t>escalafonarios</w:t>
      </w:r>
      <w:proofErr w:type="spellEnd"/>
      <w:r w:rsidRPr="009E70FD">
        <w:rPr>
          <w:rFonts w:ascii="Arial" w:hAnsi="Arial" w:cs="Arial"/>
          <w:spacing w:val="-3"/>
          <w:sz w:val="20"/>
        </w:rPr>
        <w:t>:</w:t>
      </w:r>
    </w:p>
    <w:p w:rsidR="00740A62" w:rsidRPr="009E70FD" w:rsidRDefault="00740A62" w:rsidP="00740A62">
      <w:pPr>
        <w:tabs>
          <w:tab w:val="left" w:pos="-720"/>
        </w:tabs>
        <w:suppressAutoHyphens/>
        <w:jc w:val="both"/>
        <w:rPr>
          <w:rFonts w:ascii="Arial" w:hAnsi="Arial" w:cs="Arial"/>
          <w:spacing w:val="-3"/>
          <w:sz w:val="20"/>
        </w:rPr>
      </w:pPr>
    </w:p>
    <w:p w:rsidR="00740A62" w:rsidRPr="009E70FD" w:rsidRDefault="00740A62" w:rsidP="00740A62">
      <w:pPr>
        <w:tabs>
          <w:tab w:val="left" w:pos="-720"/>
        </w:tabs>
        <w:suppressAutoHyphens/>
        <w:jc w:val="both"/>
        <w:rPr>
          <w:rFonts w:ascii="Arial" w:hAnsi="Arial" w:cs="Arial"/>
          <w:spacing w:val="-3"/>
          <w:sz w:val="20"/>
        </w:rPr>
      </w:pPr>
      <w:r w:rsidRPr="009E70FD">
        <w:rPr>
          <w:rFonts w:ascii="Arial" w:hAnsi="Arial" w:cs="Arial"/>
          <w:spacing w:val="-3"/>
          <w:sz w:val="20"/>
        </w:rPr>
        <w:t>I. Los conocimientos;</w:t>
      </w:r>
    </w:p>
    <w:p w:rsidR="00740A62" w:rsidRPr="009E70FD" w:rsidRDefault="00740A62" w:rsidP="00740A62">
      <w:pPr>
        <w:tabs>
          <w:tab w:val="left" w:pos="-720"/>
        </w:tabs>
        <w:suppressAutoHyphens/>
        <w:jc w:val="both"/>
        <w:rPr>
          <w:rFonts w:ascii="Arial" w:hAnsi="Arial" w:cs="Arial"/>
          <w:spacing w:val="-3"/>
          <w:sz w:val="20"/>
        </w:rPr>
      </w:pPr>
    </w:p>
    <w:p w:rsidR="00740A62" w:rsidRPr="009E70FD" w:rsidRDefault="00740A62" w:rsidP="00740A62">
      <w:pPr>
        <w:tabs>
          <w:tab w:val="left" w:pos="-720"/>
        </w:tabs>
        <w:suppressAutoHyphens/>
        <w:jc w:val="both"/>
        <w:rPr>
          <w:rFonts w:ascii="Arial" w:hAnsi="Arial" w:cs="Arial"/>
          <w:spacing w:val="-3"/>
          <w:sz w:val="20"/>
        </w:rPr>
      </w:pPr>
      <w:r w:rsidRPr="009E70FD">
        <w:rPr>
          <w:rFonts w:ascii="Arial" w:hAnsi="Arial" w:cs="Arial"/>
          <w:spacing w:val="-3"/>
          <w:sz w:val="20"/>
        </w:rPr>
        <w:t>II. La aptitud;</w:t>
      </w:r>
    </w:p>
    <w:p w:rsidR="00740A62" w:rsidRPr="009E70FD" w:rsidRDefault="00740A62" w:rsidP="00740A62">
      <w:pPr>
        <w:tabs>
          <w:tab w:val="left" w:pos="-720"/>
        </w:tabs>
        <w:suppressAutoHyphens/>
        <w:jc w:val="both"/>
        <w:rPr>
          <w:rFonts w:ascii="Arial" w:hAnsi="Arial" w:cs="Arial"/>
          <w:spacing w:val="-3"/>
          <w:sz w:val="20"/>
        </w:rPr>
      </w:pPr>
    </w:p>
    <w:p w:rsidR="00740A62" w:rsidRPr="009E70FD" w:rsidRDefault="00740A62" w:rsidP="00740A62">
      <w:pPr>
        <w:tabs>
          <w:tab w:val="left" w:pos="-720"/>
        </w:tabs>
        <w:suppressAutoHyphens/>
        <w:jc w:val="both"/>
        <w:rPr>
          <w:rFonts w:ascii="Arial" w:hAnsi="Arial" w:cs="Arial"/>
          <w:spacing w:val="-3"/>
          <w:sz w:val="20"/>
        </w:rPr>
      </w:pPr>
      <w:r w:rsidRPr="009E70FD">
        <w:rPr>
          <w:rFonts w:ascii="Arial" w:hAnsi="Arial" w:cs="Arial"/>
          <w:spacing w:val="-3"/>
          <w:sz w:val="20"/>
        </w:rPr>
        <w:t>III. La antigüedad; y</w:t>
      </w:r>
    </w:p>
    <w:p w:rsidR="00740A62" w:rsidRPr="009E70FD" w:rsidRDefault="00740A62" w:rsidP="00740A62">
      <w:pPr>
        <w:tabs>
          <w:tab w:val="left" w:pos="-720"/>
        </w:tabs>
        <w:suppressAutoHyphens/>
        <w:jc w:val="both"/>
        <w:rPr>
          <w:rFonts w:ascii="Arial" w:hAnsi="Arial" w:cs="Arial"/>
          <w:spacing w:val="-3"/>
          <w:sz w:val="20"/>
        </w:rPr>
      </w:pPr>
    </w:p>
    <w:p w:rsidR="00740A62" w:rsidRPr="009E70FD" w:rsidRDefault="00740A62" w:rsidP="00740A62">
      <w:pPr>
        <w:tabs>
          <w:tab w:val="left" w:pos="-720"/>
        </w:tabs>
        <w:suppressAutoHyphens/>
        <w:jc w:val="both"/>
        <w:rPr>
          <w:rFonts w:ascii="Arial" w:hAnsi="Arial" w:cs="Arial"/>
          <w:spacing w:val="-3"/>
          <w:sz w:val="20"/>
        </w:rPr>
      </w:pPr>
      <w:r w:rsidRPr="009E70FD">
        <w:rPr>
          <w:rFonts w:ascii="Arial" w:hAnsi="Arial" w:cs="Arial"/>
          <w:spacing w:val="-3"/>
          <w:sz w:val="20"/>
        </w:rPr>
        <w:t>IV. La disciplina y puntualidad.</w:t>
      </w:r>
    </w:p>
    <w:p w:rsidR="00740A62" w:rsidRPr="009E70FD" w:rsidRDefault="00740A62" w:rsidP="00740A62">
      <w:pPr>
        <w:tabs>
          <w:tab w:val="left" w:pos="-720"/>
        </w:tabs>
        <w:suppressAutoHyphens/>
        <w:ind w:firstLine="426"/>
        <w:jc w:val="both"/>
        <w:rPr>
          <w:rFonts w:ascii="Arial" w:hAnsi="Arial" w:cs="Arial"/>
          <w:spacing w:val="-3"/>
          <w:sz w:val="20"/>
        </w:rPr>
      </w:pPr>
    </w:p>
    <w:p w:rsidR="00740A62" w:rsidRPr="009E70FD" w:rsidRDefault="00740A62" w:rsidP="00740A62">
      <w:pPr>
        <w:tabs>
          <w:tab w:val="left" w:pos="-720"/>
        </w:tabs>
        <w:suppressAutoHyphens/>
        <w:jc w:val="both"/>
        <w:rPr>
          <w:rFonts w:ascii="Arial" w:hAnsi="Arial" w:cs="Arial"/>
          <w:spacing w:val="-3"/>
          <w:sz w:val="20"/>
        </w:rPr>
      </w:pPr>
      <w:r w:rsidRPr="009E70FD">
        <w:rPr>
          <w:rFonts w:ascii="Arial" w:hAnsi="Arial" w:cs="Arial"/>
          <w:b/>
          <w:bCs/>
          <w:spacing w:val="-3"/>
          <w:sz w:val="20"/>
        </w:rPr>
        <w:lastRenderedPageBreak/>
        <w:t>Artículo 61</w:t>
      </w:r>
      <w:r w:rsidRPr="009E70FD">
        <w:rPr>
          <w:rFonts w:ascii="Arial" w:hAnsi="Arial" w:cs="Arial"/>
          <w:spacing w:val="-3"/>
          <w:sz w:val="20"/>
        </w:rPr>
        <w:t>.</w:t>
      </w:r>
      <w:r w:rsidRPr="009E70FD">
        <w:rPr>
          <w:rFonts w:ascii="Arial" w:hAnsi="Arial" w:cs="Arial"/>
          <w:spacing w:val="-3"/>
          <w:sz w:val="20"/>
        </w:rPr>
        <w:noBreakHyphen/>
        <w:t xml:space="preserve">  Un servidor público de base podrá aceptar una designación a un puesto de confianza, pero en ese caso y mientras conserve esta categoría, quedará suspendido en sus derechos sindicales. No obstante lo anterior, podrá en todo momento retornar a su puesto de base, siempre y cuando en las funciones de confianza encomendadas no haya cometido alguna de las conductas a que se refiere la fracción V del artículo 22, de esta ley.</w:t>
      </w:r>
    </w:p>
    <w:p w:rsidR="00740A62" w:rsidRPr="009E70FD" w:rsidRDefault="00740A62" w:rsidP="00740A62">
      <w:pPr>
        <w:tabs>
          <w:tab w:val="left" w:pos="-720"/>
        </w:tabs>
        <w:suppressAutoHyphens/>
        <w:jc w:val="both"/>
        <w:rPr>
          <w:rFonts w:ascii="Arial" w:hAnsi="Arial" w:cs="Arial"/>
          <w:spacing w:val="-3"/>
          <w:sz w:val="20"/>
        </w:rPr>
      </w:pPr>
    </w:p>
    <w:p w:rsidR="00740A62" w:rsidRPr="009E70FD" w:rsidRDefault="00740A62" w:rsidP="00740A62">
      <w:pPr>
        <w:tabs>
          <w:tab w:val="left" w:pos="-720"/>
        </w:tabs>
        <w:suppressAutoHyphens/>
        <w:jc w:val="both"/>
        <w:rPr>
          <w:rFonts w:ascii="Arial" w:hAnsi="Arial" w:cs="Arial"/>
          <w:spacing w:val="-3"/>
          <w:sz w:val="20"/>
        </w:rPr>
      </w:pPr>
      <w:r w:rsidRPr="009E70FD">
        <w:rPr>
          <w:rFonts w:ascii="Arial" w:hAnsi="Arial" w:cs="Arial"/>
          <w:b/>
          <w:bCs/>
          <w:spacing w:val="-3"/>
          <w:sz w:val="20"/>
        </w:rPr>
        <w:t>Artículo  62</w:t>
      </w:r>
      <w:r w:rsidRPr="009E70FD">
        <w:rPr>
          <w:rFonts w:ascii="Arial" w:hAnsi="Arial" w:cs="Arial"/>
          <w:spacing w:val="-3"/>
          <w:sz w:val="20"/>
        </w:rPr>
        <w:t>.</w:t>
      </w:r>
      <w:r w:rsidRPr="009E70FD">
        <w:rPr>
          <w:rFonts w:ascii="Arial" w:hAnsi="Arial" w:cs="Arial"/>
          <w:spacing w:val="-3"/>
          <w:sz w:val="20"/>
        </w:rPr>
        <w:noBreakHyphen/>
        <w:t xml:space="preserve">  En materia </w:t>
      </w:r>
      <w:proofErr w:type="spellStart"/>
      <w:r w:rsidRPr="009E70FD">
        <w:rPr>
          <w:rFonts w:ascii="Arial" w:hAnsi="Arial" w:cs="Arial"/>
          <w:spacing w:val="-3"/>
          <w:sz w:val="20"/>
        </w:rPr>
        <w:t>escalafonaria</w:t>
      </w:r>
      <w:proofErr w:type="spellEnd"/>
      <w:r w:rsidRPr="009E70FD">
        <w:rPr>
          <w:rFonts w:ascii="Arial" w:hAnsi="Arial" w:cs="Arial"/>
          <w:spacing w:val="-3"/>
          <w:sz w:val="20"/>
        </w:rPr>
        <w:t>, las Entidades Públicas tendrán las obligaciones siguientes:</w:t>
      </w:r>
    </w:p>
    <w:p w:rsidR="00740A62" w:rsidRPr="009E70FD" w:rsidRDefault="00740A62" w:rsidP="00740A62">
      <w:pPr>
        <w:tabs>
          <w:tab w:val="left" w:pos="-720"/>
        </w:tabs>
        <w:suppressAutoHyphens/>
        <w:jc w:val="both"/>
        <w:rPr>
          <w:rFonts w:ascii="Arial" w:hAnsi="Arial" w:cs="Arial"/>
          <w:spacing w:val="-3"/>
          <w:sz w:val="20"/>
        </w:rPr>
      </w:pPr>
    </w:p>
    <w:p w:rsidR="00740A62" w:rsidRPr="009E70FD" w:rsidRDefault="00740A62" w:rsidP="00740A62">
      <w:pPr>
        <w:tabs>
          <w:tab w:val="left" w:pos="-720"/>
        </w:tabs>
        <w:suppressAutoHyphens/>
        <w:jc w:val="both"/>
        <w:rPr>
          <w:rFonts w:ascii="Arial" w:hAnsi="Arial" w:cs="Arial"/>
          <w:spacing w:val="-3"/>
          <w:sz w:val="20"/>
        </w:rPr>
      </w:pPr>
      <w:r w:rsidRPr="009E70FD">
        <w:rPr>
          <w:rFonts w:ascii="Arial" w:hAnsi="Arial" w:cs="Arial"/>
          <w:spacing w:val="-3"/>
          <w:sz w:val="20"/>
        </w:rPr>
        <w:t>I. Proporcionar a la Comisión Mixta de Escalafón los elementos adecuados para su funcionamiento;</w:t>
      </w:r>
    </w:p>
    <w:p w:rsidR="00740A62" w:rsidRPr="009E70FD" w:rsidRDefault="00740A62" w:rsidP="00740A62">
      <w:pPr>
        <w:tabs>
          <w:tab w:val="left" w:pos="-720"/>
        </w:tabs>
        <w:suppressAutoHyphens/>
        <w:jc w:val="both"/>
        <w:rPr>
          <w:rFonts w:ascii="Arial" w:hAnsi="Arial" w:cs="Arial"/>
          <w:spacing w:val="-3"/>
          <w:sz w:val="20"/>
        </w:rPr>
      </w:pPr>
    </w:p>
    <w:p w:rsidR="00740A62" w:rsidRPr="009E70FD" w:rsidRDefault="00740A62" w:rsidP="00740A62">
      <w:pPr>
        <w:tabs>
          <w:tab w:val="left" w:pos="-720"/>
        </w:tabs>
        <w:suppressAutoHyphens/>
        <w:jc w:val="both"/>
        <w:rPr>
          <w:rFonts w:ascii="Arial" w:hAnsi="Arial" w:cs="Arial"/>
          <w:spacing w:val="-3"/>
          <w:sz w:val="20"/>
        </w:rPr>
      </w:pPr>
      <w:r w:rsidRPr="009E70FD">
        <w:rPr>
          <w:rFonts w:ascii="Arial" w:hAnsi="Arial" w:cs="Arial"/>
          <w:spacing w:val="-3"/>
          <w:sz w:val="20"/>
        </w:rPr>
        <w:t>II. Dar a conocer a la Comisión, la existencia de vacantes, dentro de los diez días siguientes a que se dicte el oficio de baja o cuando, por ampliación, el presupuesto de egresos en vigor autorice más plazas; y</w:t>
      </w:r>
    </w:p>
    <w:p w:rsidR="00740A62" w:rsidRPr="009E70FD" w:rsidRDefault="00740A62" w:rsidP="00740A62">
      <w:pPr>
        <w:tabs>
          <w:tab w:val="left" w:pos="-720"/>
        </w:tabs>
        <w:suppressAutoHyphens/>
        <w:jc w:val="both"/>
        <w:rPr>
          <w:rFonts w:ascii="Arial" w:hAnsi="Arial" w:cs="Arial"/>
          <w:spacing w:val="-3"/>
          <w:sz w:val="20"/>
        </w:rPr>
      </w:pPr>
    </w:p>
    <w:p w:rsidR="00740A62" w:rsidRPr="009E70FD" w:rsidRDefault="00740A62" w:rsidP="00740A62">
      <w:pPr>
        <w:tabs>
          <w:tab w:val="left" w:pos="-720"/>
        </w:tabs>
        <w:suppressAutoHyphens/>
        <w:jc w:val="both"/>
        <w:rPr>
          <w:rFonts w:ascii="Arial" w:hAnsi="Arial" w:cs="Arial"/>
          <w:spacing w:val="-3"/>
          <w:sz w:val="20"/>
        </w:rPr>
      </w:pPr>
      <w:r w:rsidRPr="009E70FD">
        <w:rPr>
          <w:rFonts w:ascii="Arial" w:hAnsi="Arial" w:cs="Arial"/>
          <w:spacing w:val="-3"/>
          <w:sz w:val="20"/>
        </w:rPr>
        <w:t>III. Hacer la proposición de nombramientos definitivos, en favor de la persona que hubiese logrado la más alta calificación para el empleo, en concurso, una vez conocido el fallo de la Comisión Mixta de Escalafón.</w:t>
      </w:r>
    </w:p>
    <w:p w:rsidR="00740A62" w:rsidRPr="009E70FD" w:rsidRDefault="00740A62" w:rsidP="00740A62">
      <w:pPr>
        <w:tabs>
          <w:tab w:val="left" w:pos="-720"/>
        </w:tabs>
        <w:suppressAutoHyphens/>
        <w:jc w:val="both"/>
        <w:rPr>
          <w:rFonts w:ascii="Arial" w:hAnsi="Arial" w:cs="Arial"/>
          <w:spacing w:val="-3"/>
          <w:sz w:val="20"/>
        </w:rPr>
      </w:pPr>
    </w:p>
    <w:p w:rsidR="00740A62" w:rsidRPr="009E70FD" w:rsidRDefault="00740A62" w:rsidP="00740A62">
      <w:pPr>
        <w:jc w:val="both"/>
        <w:rPr>
          <w:rFonts w:ascii="Arial" w:hAnsi="Arial" w:cs="Arial"/>
          <w:sz w:val="20"/>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spacing w:val="-3"/>
          <w:lang w:eastAsia="en-US"/>
        </w:rPr>
      </w:pPr>
    </w:p>
    <w:p w:rsidR="00740A62" w:rsidRDefault="00740A62" w:rsidP="00740A62">
      <w:pPr>
        <w:autoSpaceDE w:val="0"/>
        <w:autoSpaceDN w:val="0"/>
        <w:adjustRightInd w:val="0"/>
        <w:rPr>
          <w:rFonts w:ascii="Arial" w:eastAsiaTheme="minorHAnsi" w:hAnsi="Arial" w:cs="Arial"/>
          <w:lang w:val="es-MX" w:eastAsia="en-US"/>
        </w:rPr>
      </w:pPr>
      <w:r>
        <w:rPr>
          <w:rFonts w:ascii="Arial" w:eastAsiaTheme="minorHAnsi" w:hAnsi="Arial" w:cs="Arial"/>
          <w:b/>
          <w:bCs/>
          <w:lang w:val="es-MX" w:eastAsia="en-US"/>
        </w:rPr>
        <w:t xml:space="preserve">Fundamentación: </w:t>
      </w:r>
      <w:r>
        <w:rPr>
          <w:rFonts w:ascii="Arial" w:eastAsiaTheme="minorHAnsi" w:hAnsi="Arial" w:cs="Arial"/>
          <w:lang w:val="es-MX" w:eastAsia="en-US"/>
        </w:rPr>
        <w:t>Ley para los Servidores Públicos del Estado de Jalisco y sus</w:t>
      </w:r>
    </w:p>
    <w:p w:rsidR="00740A62" w:rsidRDefault="00740A62" w:rsidP="00740A62">
      <w:pPr>
        <w:tabs>
          <w:tab w:val="left" w:pos="-720"/>
        </w:tabs>
        <w:suppressAutoHyphens/>
        <w:spacing w:after="200" w:line="276" w:lineRule="auto"/>
        <w:contextualSpacing/>
        <w:jc w:val="both"/>
        <w:rPr>
          <w:rFonts w:ascii="Arial" w:eastAsiaTheme="minorHAnsi" w:hAnsi="Arial" w:cs="Arial"/>
          <w:lang w:val="es-MX" w:eastAsia="en-US"/>
        </w:rPr>
      </w:pPr>
      <w:r>
        <w:rPr>
          <w:rFonts w:ascii="Arial" w:eastAsiaTheme="minorHAnsi" w:hAnsi="Arial" w:cs="Arial"/>
          <w:lang w:val="es-MX" w:eastAsia="en-US"/>
        </w:rPr>
        <w:t>Municipios.</w:t>
      </w:r>
    </w:p>
    <w:p w:rsidR="00740A62" w:rsidRDefault="00740A62" w:rsidP="00740A62">
      <w:pPr>
        <w:tabs>
          <w:tab w:val="left" w:pos="-720"/>
        </w:tabs>
        <w:suppressAutoHyphens/>
        <w:spacing w:after="200" w:line="276" w:lineRule="auto"/>
        <w:contextualSpacing/>
        <w:jc w:val="both"/>
        <w:rPr>
          <w:rFonts w:ascii="Arial" w:eastAsiaTheme="minorHAnsi" w:hAnsi="Arial" w:cs="Arial"/>
          <w:lang w:val="es-MX" w:eastAsia="en-US"/>
        </w:rPr>
      </w:pPr>
    </w:p>
    <w:p w:rsidR="00740A62" w:rsidRDefault="00740A62" w:rsidP="00740A62">
      <w:pPr>
        <w:tabs>
          <w:tab w:val="left" w:pos="-720"/>
        </w:tabs>
        <w:suppressAutoHyphens/>
        <w:spacing w:after="200" w:line="276" w:lineRule="auto"/>
        <w:contextualSpacing/>
        <w:jc w:val="both"/>
        <w:rPr>
          <w:rFonts w:ascii="Arial" w:eastAsiaTheme="minorHAnsi" w:hAnsi="Arial" w:cs="Arial"/>
          <w:lang w:val="es-MX" w:eastAsia="en-US"/>
        </w:rPr>
      </w:pPr>
      <w:r>
        <w:rPr>
          <w:rFonts w:ascii="Arial" w:eastAsiaTheme="minorHAnsi" w:hAnsi="Arial" w:cs="Arial"/>
          <w:b/>
          <w:bCs/>
          <w:lang w:val="es-MX" w:eastAsia="en-US"/>
        </w:rPr>
        <w:t xml:space="preserve">Fuente: </w:t>
      </w:r>
      <w:r>
        <w:rPr>
          <w:rFonts w:ascii="Arial" w:eastAsiaTheme="minorHAnsi" w:hAnsi="Arial" w:cs="Arial"/>
          <w:lang w:val="es-MX" w:eastAsia="en-US"/>
        </w:rPr>
        <w:t>Sitio oficial de internet del Gobierno Municipal de Tonalá.</w:t>
      </w:r>
    </w:p>
    <w:p w:rsidR="00D44C74" w:rsidRPr="00740A62" w:rsidRDefault="00D44C74">
      <w:pPr>
        <w:rPr>
          <w:lang w:val="es-MX"/>
        </w:rPr>
      </w:pPr>
    </w:p>
    <w:sectPr w:rsidR="00D44C74" w:rsidRPr="00740A62" w:rsidSect="00D44C74">
      <w:head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B39" w:rsidRDefault="00263B39" w:rsidP="00740A62">
      <w:r>
        <w:separator/>
      </w:r>
    </w:p>
  </w:endnote>
  <w:endnote w:type="continuationSeparator" w:id="0">
    <w:p w:rsidR="00263B39" w:rsidRDefault="00263B39" w:rsidP="00740A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B39" w:rsidRDefault="00263B39" w:rsidP="00740A62">
      <w:r>
        <w:separator/>
      </w:r>
    </w:p>
  </w:footnote>
  <w:footnote w:type="continuationSeparator" w:id="0">
    <w:p w:rsidR="00263B39" w:rsidRDefault="00263B39" w:rsidP="00740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62" w:rsidRDefault="00740A62">
    <w:pPr>
      <w:pStyle w:val="Encabezado"/>
    </w:pPr>
    <w:r>
      <w:rPr>
        <w:noProof/>
        <w:lang w:val="es-MX" w:eastAsia="es-MX"/>
      </w:rPr>
      <w:drawing>
        <wp:inline distT="0" distB="0" distL="0" distR="0">
          <wp:extent cx="742950" cy="1058704"/>
          <wp:effectExtent l="19050" t="0" r="0" b="0"/>
          <wp:docPr id="1" name="Imagen 1" descr="400px-Escudo_de_Tona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px-Escudo_de_Tonala.svg"/>
                  <pic:cNvPicPr>
                    <a:picLocks noChangeAspect="1" noChangeArrowheads="1"/>
                  </pic:cNvPicPr>
                </pic:nvPicPr>
                <pic:blipFill>
                  <a:blip r:embed="rId1"/>
                  <a:srcRect/>
                  <a:stretch>
                    <a:fillRect/>
                  </a:stretch>
                </pic:blipFill>
                <pic:spPr bwMode="auto">
                  <a:xfrm>
                    <a:off x="0" y="0"/>
                    <a:ext cx="742950" cy="1058704"/>
                  </a:xfrm>
                  <a:prstGeom prst="rect">
                    <a:avLst/>
                  </a:prstGeom>
                  <a:noFill/>
                  <a:ln w="9525">
                    <a:noFill/>
                    <a:miter lim="800000"/>
                    <a:headEnd/>
                    <a:tailEnd/>
                  </a:ln>
                </pic:spPr>
              </pic:pic>
            </a:graphicData>
          </a:graphic>
        </wp:inline>
      </w:drawing>
    </w:r>
    <w:r>
      <w:t xml:space="preserve">   </w:t>
    </w:r>
    <w:r>
      <w:rPr>
        <w:noProof/>
        <w:lang w:val="es-MX" w:eastAsia="es-MX"/>
      </w:rPr>
      <w:t xml:space="preserve">                                                                                  </w:t>
    </w:r>
    <w:r>
      <w:rPr>
        <w:noProof/>
        <w:lang w:val="es-MX" w:eastAsia="es-MX"/>
      </w:rPr>
      <w:drawing>
        <wp:inline distT="0" distB="0" distL="0" distR="0">
          <wp:extent cx="1552575" cy="1047988"/>
          <wp:effectExtent l="0" t="0" r="0" b="0"/>
          <wp:docPr id="4" name="Imagen 4" descr="Gobierno de Tona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ierno de Tonalá"/>
                  <pic:cNvPicPr>
                    <a:picLocks noChangeAspect="1" noChangeArrowheads="1"/>
                  </pic:cNvPicPr>
                </pic:nvPicPr>
                <pic:blipFill>
                  <a:blip r:embed="rId2"/>
                  <a:srcRect/>
                  <a:stretch>
                    <a:fillRect/>
                  </a:stretch>
                </pic:blipFill>
                <pic:spPr bwMode="auto">
                  <a:xfrm>
                    <a:off x="0" y="0"/>
                    <a:ext cx="1552575" cy="1047988"/>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40A62"/>
    <w:rsid w:val="00263B39"/>
    <w:rsid w:val="002A149A"/>
    <w:rsid w:val="00740A62"/>
    <w:rsid w:val="00D44C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6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9"/>
    <w:qFormat/>
    <w:rsid w:val="00740A62"/>
    <w:pPr>
      <w:keepNext/>
      <w:keepLines/>
      <w:spacing w:before="200"/>
      <w:outlineLvl w:val="1"/>
    </w:pPr>
    <w:rPr>
      <w:rFonts w:ascii="Cambria" w:eastAsia="Calibri"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740A62"/>
    <w:rPr>
      <w:rFonts w:ascii="Cambria" w:eastAsia="Calibri" w:hAnsi="Cambria" w:cs="Times New Roman"/>
      <w:b/>
      <w:bCs/>
      <w:color w:val="4F81BD"/>
      <w:sz w:val="26"/>
      <w:szCs w:val="26"/>
      <w:lang w:val="es-ES" w:eastAsia="es-ES"/>
    </w:rPr>
  </w:style>
  <w:style w:type="character" w:styleId="Hipervnculo">
    <w:name w:val="Hyperlink"/>
    <w:basedOn w:val="Fuentedeprrafopredeter"/>
    <w:uiPriority w:val="99"/>
    <w:unhideWhenUsed/>
    <w:rsid w:val="00740A62"/>
    <w:rPr>
      <w:color w:val="0000FF" w:themeColor="hyperlink"/>
      <w:u w:val="single"/>
    </w:rPr>
  </w:style>
  <w:style w:type="paragraph" w:styleId="Encabezado">
    <w:name w:val="header"/>
    <w:basedOn w:val="Normal"/>
    <w:link w:val="EncabezadoCar"/>
    <w:uiPriority w:val="99"/>
    <w:semiHidden/>
    <w:unhideWhenUsed/>
    <w:rsid w:val="00740A62"/>
    <w:pPr>
      <w:tabs>
        <w:tab w:val="center" w:pos="4419"/>
        <w:tab w:val="right" w:pos="8838"/>
      </w:tabs>
    </w:pPr>
  </w:style>
  <w:style w:type="character" w:customStyle="1" w:styleId="EncabezadoCar">
    <w:name w:val="Encabezado Car"/>
    <w:basedOn w:val="Fuentedeprrafopredeter"/>
    <w:link w:val="Encabezado"/>
    <w:uiPriority w:val="99"/>
    <w:semiHidden/>
    <w:rsid w:val="00740A6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740A62"/>
    <w:pPr>
      <w:tabs>
        <w:tab w:val="center" w:pos="4419"/>
        <w:tab w:val="right" w:pos="8838"/>
      </w:tabs>
    </w:pPr>
  </w:style>
  <w:style w:type="character" w:customStyle="1" w:styleId="PiedepginaCar">
    <w:name w:val="Pie de página Car"/>
    <w:basedOn w:val="Fuentedeprrafopredeter"/>
    <w:link w:val="Piedepgina"/>
    <w:uiPriority w:val="99"/>
    <w:semiHidden/>
    <w:rsid w:val="00740A6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40A62"/>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A62"/>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nala.gob.mx/portal/assets/leyparalosservidorespublicosdelestadodejaliscoysusmunicipios.pdf" TargetMode="External"/><Relationship Id="rId3" Type="http://schemas.openxmlformats.org/officeDocument/2006/relationships/webSettings" Target="webSettings.xml"/><Relationship Id="rId7" Type="http://schemas.openxmlformats.org/officeDocument/2006/relationships/hyperlink" Target="http://www.tonala.gob.mx/portal/assets/leyparalosservidorespublicosdelestadodejaliscoysusmunicipio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nala.gob.mx/port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onala.gob.mx/portal/assets/leyparalosservidorespublicosdelestadodejaliscoysusmunicipio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6252</Characters>
  <Application>Microsoft Office Word</Application>
  <DocSecurity>0</DocSecurity>
  <Lines>52</Lines>
  <Paragraphs>14</Paragraphs>
  <ScaleCrop>false</ScaleCrop>
  <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cp:revision>
  <dcterms:created xsi:type="dcterms:W3CDTF">2017-09-18T16:37:00Z</dcterms:created>
  <dcterms:modified xsi:type="dcterms:W3CDTF">2017-09-18T16:39:00Z</dcterms:modified>
</cp:coreProperties>
</file>