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68. ¿Desglosa los subsidios o ayudas sociales?</w:t>
      </w: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En el Presupuesto de Egresos para el Ejercicio Fiscal del año 2017 se encuentra la partida 4300 Subsidios y Subvenciones no cuenta el Municipio de Tonalá, Jalisco  y 4400 Ayudas Sociales en la que se desglosa las ayudas sociales, el cual puede ser consultado directamente en</w:t>
      </w: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9C4ACB" w:rsidRDefault="009C4ACB" w:rsidP="009C4A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C4ACB" w:rsidRPr="00301F4E" w:rsidRDefault="009C4ACB" w:rsidP="009C4A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Egresos Fuentes de Financiamiento</w:t>
      </w: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01" o:spid="_x0000_s1026" type="#_x0000_t13" style="position:absolute;margin-left:-20.95pt;margin-top:321.3pt;width:54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IroQIAALsFAAAOAAAAZHJzL2Uyb0RvYy54bWysVE1v2zAMvQ/YfxB0X+0ETZsGdYqsRYYB&#10;RVusHXpWZCk2IIsapcTJfv0o2XH6hR2G5aCIJvlIPpG8vNo1hm0V+hpswUcnOWfKSihruy74z6fl&#10;lylnPghbCgNWFXyvPL+af/502bqZGkMFplTICMT6WesKXoXgZlnmZaUa4U/AKUtKDdiIQCKusxJF&#10;S+iNycZ5fpa1gKVDkMp7+nrTKfk84WutZLjX2qvATMEpt5BOTOcqntn8UszWKFxVyz4N8Q9ZNKK2&#10;FHSAuhFBsA3W76CaWiJ40OFEQpOB1rVUqQaqZpS/qeaxEk6lWogc7waa/P+DlXfbB2R1WXCKz5kV&#10;DT3S0ihZCUYvk/6jhnhqnZ+R+aN7wF7ydI1F7zQ28Z/KYbvE7X7gVu0Ck/TxbDqZ5vQCklSjaX5x&#10;PomY2dHZoQ/fFDQsXgqO9boKC0RoE69ie+tD53AwjBE9mLpc1sYkAdera4NsK+Jj51/zSXpfivHK&#10;zNj3nrHd1OAbdqng144kRc8s0tAVnm5hb1TEM/aH0kQklTpOGacWPmIKKZUNo05ViVJ1aU5y+vVM&#10;DB6JlwQYkTWVN2D3AK/zPWB3/PT20VWlCRic878l1jkPHiky2DA4N7UF/AjAUFV95M7+QFJHTWRp&#10;BeWe2gyhmz/v5LKmV74VPjwIpIGjxqAlEu7p0AbagkN/46wC/P3R92hPc0Bazloa4IL7XxuBijPz&#10;3dKEXIxOT+PEJ+F0cj4mAV9qVi81dtNcA7UNzQBll67RPpjDVSM0z7RrFjEqqYSVFLvgMuBBuA7d&#10;YqFtJdVikcxoyp0It/bRyQgeWY39+7R7Fuj6Vg80I3dwGHYxe9PrnW30tLDYBNB1GoQjrz3ftCFS&#10;4/TbLK6gl3KyOu7c+R8AAAD//wMAUEsDBBQABgAIAAAAIQA0uTZT4AAAAAoBAAAPAAAAZHJzL2Rv&#10;d25yZXYueG1sTI/BSsQwEIbvgu8QRvAiu2nKErU2XVSQxYOHXWXxmG3GptgkJUl369s7ntzTMMzH&#10;P99fr2c3sCPG1AevQCwLYOjbYHrfKfh4f1ncAUtZe6OH4FHBDyZYN5cXta5MOPktHne5YxTiU6UV&#10;2JzHivPUWnQ6LcOInm5fITqdaY0dN1GfKNwNvCwKyZ3uPX2wesRni+33bnIKpvC6ERu7fyv25Vba&#10;z3gzP2VU6vpqfnwAlnHO/zD86ZM6NOR0CJM3iQ0KFitxT6gCuSolMCKkFMAONG+FAN7U/LxC8wsA&#10;AP//AwBQSwECLQAUAAYACAAAACEAtoM4kv4AAADhAQAAEwAAAAAAAAAAAAAAAAAAAAAAW0NvbnRl&#10;bnRfVHlwZXNdLnhtbFBLAQItABQABgAIAAAAIQA4/SH/1gAAAJQBAAALAAAAAAAAAAAAAAAAAC8B&#10;AABfcmVscy8ucmVsc1BLAQItABQABgAIAAAAIQAUTtIroQIAALsFAAAOAAAAAAAAAAAAAAAAAC4C&#10;AABkcnMvZTJvRG9jLnhtbFBLAQItABQABgAIAAAAIQA0uTZT4AAAAAoBAAAPAAAAAAAAAAAAAAAA&#10;APsEAABkcnMvZG93bnJldi54bWxQSwUGAAAAAAQABADzAAAACAYAAAAA&#10;" adj="18750" fillcolor="#00b050" strokecolor="black [3213]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5050" cy="4676775"/>
            <wp:effectExtent l="0" t="0" r="0" b="9525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 id="Flecha derecha 203" o:spid="_x0000_s1027" type="#_x0000_t13" style="position:absolute;left:0;text-align:left;margin-left:-45pt;margin-top:195pt;width:54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RleQIAAPwEAAAOAAAAZHJzL2Uyb0RvYy54bWysVEtv2zAMvg/YfxB0X+1kSZsGdYqsRYYB&#10;RVugLXpmZDk2IIsapcTJfv0o2U0f22mYDzJpUnx8/OiLy31rxE6Tb9AWcnSSS6GtwrKxm0I+Pa6+&#10;zKTwAWwJBq0u5EF7ebn4/Omic3M9xhpNqUlwEOvnnStkHYKbZ5lXtW7Bn6DTlo0VUguBVdpkJUHH&#10;0VuTjfP8NOuQSkeotPf89bo3ykWKX1Vahbuq8joIU0iuLaST0rmOZ7a4gPmGwNWNGsqAf6iihcZy&#10;0mOoawggttT8EaptFKHHKpwobDOsqkbp1AN3M8o/dPNQg9OpFwbHuyNM/v+FVbe7exJNWchx/lUK&#10;Cy0PaWW0qkHwZNI7Whinzvk5uz+4exo0z2Jsel9RG9/cjtgnbA9HbPU+CMUfT2fTWc4TUGwazfLz&#10;s2mMmb1eduTDd42tiEIhqdnUYUmEXcIVdjc+9BdeHGNGj6YpV40xSaHN+sqQ2EEcdv4tn6b5co53&#10;bsaKjtudTlI5wKSrDASurHUMg7cbKcBsmM0qUMr97rY/+GMO5mGJ3SO3KIUBH9gQE8dnaO7d1Vj4&#10;Nfi6LzCZBjdjY/068XXoM6Ld4xulNZYHnhNhT2Dv1KrhaDec9B6IGcvI8haGOz4qg9wfDpIUNdKv&#10;v32P/kwktkrR8QZw7z+3QJp7+WGZYuejySSuTFIm07MxK/TWsn5rsdv2Chn3Ee+7U0mM/sG8iBVh&#10;+8zLuoxZ2QRWce4e5UG5Cv1m8rorvVwmN14TB+HGPjgVg0ecIo6P+2cgN3Al8ARu8WVbYP6BLL1v&#10;vGlxuQ1YNYlJr7gyD6PCK5YYOfwO4g6/1ZPX609r8RsAAP//AwBQSwMEFAAGAAgAAAAhAOl43fnf&#10;AAAACgEAAA8AAABkcnMvZG93bnJldi54bWxMj91Kw0AQhe8F32EZwRtpN/GPNGZSiqAgUsTUB9jN&#10;TpNgdjZkt2n69m690buZOYcz3ynWs+3FRKPvHCOkywQEce1Mxw3C1+5lkYHwQbFRvWNCOJGHdXl5&#10;UajcuCN/0lSFRsQQ9rlCaEMYcil93ZJVfukG4qjt3WhViOvYSDOqYwy3vbxNkkdpVcfxQ6sGem6p&#10;/q4OFmHa+urtlO5f683qg3c3ldZaviNeX82bJxCB5vBnhjN+RIcyMml3YONFj7BYJbFLQLj7Hc6O&#10;LB40wn2aPYAsC/m/QvkDAAD//wMAUEsBAi0AFAAGAAgAAAAhALaDOJL+AAAA4QEAABMAAAAAAAAA&#10;AAAAAAAAAAAAAFtDb250ZW50X1R5cGVzXS54bWxQSwECLQAUAAYACAAAACEAOP0h/9YAAACUAQAA&#10;CwAAAAAAAAAAAAAAAAAvAQAAX3JlbHMvLnJlbHNQSwECLQAUAAYACAAAACEAiazEZXkCAAD8BAAA&#10;DgAAAAAAAAAAAAAAAAAuAgAAZHJzL2Uyb0RvYy54bWxQSwECLQAUAAYACAAAACEA6Xjd+d8AAAAK&#10;AQAADwAAAAAAAAAAAAAAAADTBAAAZHJzL2Rvd25yZXYueG1sUEsFBgAAAAAEAAQA8wAAAN8FAAAA&#10;AA==&#10;" adj="18750" fillcolor="#00b050" strokecolor="windowText" strokeweight="2pt"/>
        </w:pict>
      </w:r>
      <w:r>
        <w:rPr>
          <w:rFonts w:ascii="Arial" w:eastAsiaTheme="minorHAnsi" w:hAnsi="Arial" w:cs="Arial"/>
          <w:b/>
          <w:bCs/>
          <w:noProof/>
          <w:lang w:val="es-MX" w:eastAsia="es-MX"/>
        </w:rPr>
        <w:drawing>
          <wp:inline distT="0" distB="0" distL="0" distR="0">
            <wp:extent cx="6115050" cy="4295775"/>
            <wp:effectExtent l="0" t="0" r="0" b="9525"/>
            <wp:docPr id="275" name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lastRenderedPageBreak/>
        <w:pict>
          <v:shape id="Flecha derecha 204" o:spid="_x0000_s1028" type="#_x0000_t13" style="position:absolute;left:0;text-align:left;margin-left:142.8pt;margin-top:168.7pt;width:54pt;height:14.25pt;z-index:251662336;visibility:visible;mso-position-horizontal:right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hzeQIAAPwEAAAOAAAAZHJzL2Uyb0RvYy54bWysVEtv2zAMvg/YfxB0X+0ESZsGTYqsRYYB&#10;RRugHXpmZPkByKJGKXGyXz9KdtPHdhrmg0yaFB8fP/rq+tAasdfkG7QLOTrLpdBWYdHYaiF/PK2/&#10;zKTwAWwBBq1eyKP28nr5+dNV5+Z6jDWaQpPgINbPO7eQdQhunmVe1boFf4ZOWzaWSC0EVqnKCoKO&#10;o7cmG+f5edYhFY5Qae/5621vlMsUvyy1Cg9l6XUQZiG5tpBOSuc2ntnyCuYVgasbNZQB/1BFC43l&#10;pKdQtxBA7Kj5I1TbKEKPZThT2GZYlo3SqQfuZpR/6OaxBqdTLwyOdyeY/P8Lq+73GxJNsZDjfCKF&#10;hZaHtDZa1SB4MukdLYxT5/yc3R/dhgbNsxibPpTUxje3Iw4J2+MJW30IQvHH89l0lvMEFJtGs/zy&#10;YhpjZq+XHfnwTWMrorCQ1FR1WBFhl3CF/Z0P/YUXx5jRo2mKdWNMUqja3hgSe4jDzr/m0zRfzvHO&#10;zVjRcbvTSSoHmHSlgcCVtY5h8LaSAkzFbFaBUu53t/3Rn3IwDwvsnrhFKQz4wIaYOD5Dc++uxsJv&#10;wdd9gck0uBkb69eJr0OfEe0e3yhtsTjynAh7Anun1g1Hu+OkGyBmLCPLWxge+CgNcn84SFLUSL/+&#10;9j36M5HYKkXHG8C9/9wBae7lu2WKXY4mk7gySZlML8as0FvL9q3F7tobZNxHvO9OJTH6B/MiloTt&#10;My/rKmZlE1jFuXuUB+Um9JvJ6670apXceE0chDv76FQMHnGKOD4dnoHcwJXAE7jHl22B+Qey9L7x&#10;psXVLmDZJCa94so8jAqvWGLk8DuIO/xWT16vP63lbwAAAP//AwBQSwMEFAAGAAgAAAAhAKEdpnLf&#10;AAAACAEAAA8AAABkcnMvZG93bnJldi54bWxMj1FLw0AQhN8F/8Oxgi/FXmq1tjGXUgoVRERM/QF3&#10;uW0SzO2F3DVN/73bp/q4M8PsN9l6dK0YsA+NJwWzaQICqfS2oUrBz373sAQRoiarW0+o4IwB1vnt&#10;TaZT60/0jUMRK8ElFFKtoI6xS6UMZY1Oh6nvkNg7+N7pyGdfSdvrE5e7Vj4myUI63RB/qHWH2xrL&#10;3+LoFAyfoXg/zw5v5Wb1RftJYYyRH0rd342bVxARx3gNwwWf0SFnJuOPZINoFfCQqGA+f3kCcbGT&#10;JSuGlcXzCmSeyf8D8j8AAAD//wMAUEsBAi0AFAAGAAgAAAAhALaDOJL+AAAA4QEAABMAAAAAAAAA&#10;AAAAAAAAAAAAAFtDb250ZW50X1R5cGVzXS54bWxQSwECLQAUAAYACAAAACEAOP0h/9YAAACUAQAA&#10;CwAAAAAAAAAAAAAAAAAvAQAAX3JlbHMvLnJlbHNQSwECLQAUAAYACAAAACEAxmJYc3kCAAD8BAAA&#10;DgAAAAAAAAAAAAAAAAAuAgAAZHJzL2Uyb0RvYy54bWxQSwECLQAUAAYACAAAACEAoR2mct8AAAAI&#10;AQAADwAAAAAAAAAAAAAAAADTBAAAZHJzL2Rvd25yZXYueG1sUEsFBgAAAAAEAAQA8wAAAN8FAAAA&#10;AA==&#10;" adj="18750" fillcolor="#00b050" strokecolor="windowText" strokeweight="2pt">
            <w10:wrap anchorx="margin"/>
          </v:shape>
        </w:pict>
      </w:r>
    </w:p>
    <w:tbl>
      <w:tblPr>
        <w:tblW w:w="103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1772"/>
        <w:gridCol w:w="809"/>
        <w:gridCol w:w="1202"/>
        <w:gridCol w:w="898"/>
        <w:gridCol w:w="1073"/>
        <w:gridCol w:w="952"/>
        <w:gridCol w:w="833"/>
        <w:gridCol w:w="1202"/>
        <w:gridCol w:w="1024"/>
      </w:tblGrid>
      <w:tr w:rsidR="009C4ACB" w:rsidRPr="003A36F0" w:rsidTr="00AF2B8D">
        <w:trPr>
          <w:trHeight w:val="485"/>
        </w:trPr>
        <w:tc>
          <w:tcPr>
            <w:tcW w:w="103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de Egresos por Clasificación por Objeto del Gasto y Fuentes de Financiamiento - 2017</w:t>
            </w:r>
          </w:p>
        </w:tc>
      </w:tr>
      <w:tr w:rsidR="009C4ACB" w:rsidRPr="003A36F0" w:rsidTr="00AF2B8D">
        <w:trPr>
          <w:trHeight w:val="323"/>
        </w:trPr>
        <w:tc>
          <w:tcPr>
            <w:tcW w:w="231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Municipio:  Tonalá, Jalisco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lang w:val="es-MX"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CB" w:rsidRPr="003A36F0" w:rsidRDefault="009C4ACB" w:rsidP="00AF2B8D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9C4ACB" w:rsidRPr="003A36F0" w:rsidTr="00AF2B8D">
        <w:trPr>
          <w:trHeight w:val="412"/>
        </w:trPr>
        <w:tc>
          <w:tcPr>
            <w:tcW w:w="546" w:type="dxa"/>
            <w:vMerge w:val="restart"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COG/FF</w:t>
            </w:r>
          </w:p>
        </w:tc>
        <w:tc>
          <w:tcPr>
            <w:tcW w:w="1772" w:type="dxa"/>
            <w:vMerge w:val="restart"/>
            <w:tcBorders>
              <w:top w:val="single" w:sz="4" w:space="0" w:color="DDEBF7"/>
              <w:left w:val="single" w:sz="4" w:space="0" w:color="DDEBF7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RECURSOS FISCALES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317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FEDERALES  </w:t>
            </w:r>
          </w:p>
        </w:tc>
        <w:tc>
          <w:tcPr>
            <w:tcW w:w="1785" w:type="dxa"/>
            <w:gridSpan w:val="2"/>
            <w:tcBorders>
              <w:top w:val="single" w:sz="4" w:space="0" w:color="DDEBF7"/>
              <w:left w:val="single" w:sz="4" w:space="0" w:color="FFFFFF"/>
              <w:bottom w:val="nil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ESTATALES </w:t>
            </w:r>
          </w:p>
        </w:tc>
        <w:tc>
          <w:tcPr>
            <w:tcW w:w="1202" w:type="dxa"/>
            <w:vMerge w:val="restart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OTROS RECURSOS  </w:t>
            </w:r>
          </w:p>
        </w:tc>
        <w:tc>
          <w:tcPr>
            <w:tcW w:w="1024" w:type="dxa"/>
            <w:vMerge w:val="restart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TOTAL ANUAL </w:t>
            </w:r>
          </w:p>
        </w:tc>
      </w:tr>
      <w:tr w:rsidR="009C4ACB" w:rsidRPr="003A36F0" w:rsidTr="00AF2B8D">
        <w:trPr>
          <w:trHeight w:val="1251"/>
        </w:trPr>
        <w:tc>
          <w:tcPr>
            <w:tcW w:w="546" w:type="dxa"/>
            <w:vMerge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DDEBF7"/>
              <w:bottom w:val="single" w:sz="4" w:space="0" w:color="DDEBF7"/>
              <w:right w:val="single" w:sz="4" w:space="0" w:color="F2F2F2"/>
            </w:tcBorders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FONDO INFRAESTRUCTURA</w:t>
            </w:r>
          </w:p>
        </w:tc>
        <w:tc>
          <w:tcPr>
            <w:tcW w:w="8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 FONDO  FORTALECIMIENTO</w:t>
            </w:r>
          </w:p>
        </w:tc>
        <w:tc>
          <w:tcPr>
            <w:tcW w:w="107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 FEDERALES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PARTICIPACIONES ESTATALES </w:t>
            </w:r>
          </w:p>
        </w:tc>
        <w:tc>
          <w:tcPr>
            <w:tcW w:w="83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CONVENIOS </w:t>
            </w:r>
          </w:p>
        </w:tc>
        <w:tc>
          <w:tcPr>
            <w:tcW w:w="1202" w:type="dxa"/>
            <w:vMerge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4" w:type="dxa"/>
            <w:vMerge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C4ACB" w:rsidRPr="003A36F0" w:rsidTr="00AF2B8D">
        <w:trPr>
          <w:trHeight w:val="294"/>
        </w:trPr>
        <w:tc>
          <w:tcPr>
            <w:tcW w:w="54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4400</w:t>
            </w:r>
          </w:p>
        </w:tc>
        <w:tc>
          <w:tcPr>
            <w:tcW w:w="17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806F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AYUDAS SOCIALES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686,668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686,668</w:t>
            </w:r>
          </w:p>
        </w:tc>
      </w:tr>
      <w:tr w:rsidR="009C4ACB" w:rsidRPr="003A36F0" w:rsidTr="00AF2B8D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Ayudas sociales a personas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486,668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486,668</w:t>
            </w:r>
          </w:p>
        </w:tc>
      </w:tr>
      <w:tr w:rsidR="009C4ACB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Becas y otras ayudas para programas de capacitación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9C4ACB" w:rsidRPr="003A36F0" w:rsidTr="00AF2B8D">
        <w:trPr>
          <w:trHeight w:val="691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443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instituciones de enseñanza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9C4ACB" w:rsidRPr="003A36F0" w:rsidTr="00AF2B8D">
        <w:trPr>
          <w:trHeight w:val="632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4ACB" w:rsidRPr="003A36F0" w:rsidRDefault="009C4ACB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actividades científicas o académicas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9C4ACB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445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C4ACB" w:rsidRPr="003A36F0" w:rsidRDefault="009C4ACB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instituciones sin fines de lucro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200,000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C4ACB" w:rsidRPr="003A36F0" w:rsidRDefault="009C4ACB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200,000</w:t>
            </w:r>
          </w:p>
        </w:tc>
      </w:tr>
    </w:tbl>
    <w:p w:rsidR="009C4ACB" w:rsidRDefault="009C4ACB" w:rsidP="009C4ACB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C4ACB" w:rsidRDefault="009C4ACB" w:rsidP="009C4ACB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 xml:space="preserve">6, </w:t>
      </w:r>
      <w:r w:rsidRPr="00D828D1">
        <w:rPr>
          <w:rFonts w:ascii="Arial" w:eastAsiaTheme="minorHAnsi" w:hAnsi="Arial" w:cs="Arial"/>
          <w:b/>
          <w:lang w:val="es-MX" w:eastAsia="en-US"/>
        </w:rPr>
        <w:t>en el siguiente  link:</w:t>
      </w:r>
      <w:hyperlink r:id="rId10" w:history="1">
        <w:r w:rsidRPr="000F1037">
          <w:rPr>
            <w:rStyle w:val="Hipervnculo"/>
            <w:rFonts w:ascii="Arial" w:eastAsiaTheme="minorHAnsi" w:hAnsi="Arial" w:cs="Arial"/>
            <w:lang w:val="es-MX" w:eastAsia="en-US"/>
          </w:rPr>
          <w:t>http://tonala.gob.mx/portal/wp-content/uploads/2017/02/ACTAS-DE-DICIEMBRE.pdf</w:t>
        </w:r>
      </w:hyperlink>
    </w:p>
    <w:p w:rsidR="00D44C74" w:rsidRPr="009C4ACB" w:rsidRDefault="00D44C74">
      <w:pPr>
        <w:rPr>
          <w:lang w:val="es-MX"/>
        </w:rPr>
      </w:pPr>
    </w:p>
    <w:sectPr w:rsidR="00D44C74" w:rsidRPr="009C4ACB" w:rsidSect="00D44C7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C2" w:rsidRDefault="00E801C2" w:rsidP="009C4ACB">
      <w:r>
        <w:separator/>
      </w:r>
    </w:p>
  </w:endnote>
  <w:endnote w:type="continuationSeparator" w:id="0">
    <w:p w:rsidR="00E801C2" w:rsidRDefault="00E801C2" w:rsidP="009C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C2" w:rsidRDefault="00E801C2" w:rsidP="009C4ACB">
      <w:r>
        <w:separator/>
      </w:r>
    </w:p>
  </w:footnote>
  <w:footnote w:type="continuationSeparator" w:id="0">
    <w:p w:rsidR="00E801C2" w:rsidRDefault="00E801C2" w:rsidP="009C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CB" w:rsidRDefault="009C4AC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800100" cy="1140142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MX" w:eastAsia="es-MX"/>
      </w:rPr>
      <w:t xml:space="preserve">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628775" cy="1099423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CB"/>
    <w:rsid w:val="002A149A"/>
    <w:rsid w:val="009C4ACB"/>
    <w:rsid w:val="00D44C74"/>
    <w:rsid w:val="00E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A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A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C4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4A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C4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4A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nala.gob.mx/portal/wp-content/uploads/2017/02/ACTAS-DE-DICIEMBRE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2017-09-18T15:15:00Z</dcterms:created>
  <dcterms:modified xsi:type="dcterms:W3CDTF">2017-09-18T15:16:00Z</dcterms:modified>
</cp:coreProperties>
</file>