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61" w:rsidRDefault="00137161" w:rsidP="0013716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137161" w:rsidRDefault="00137161" w:rsidP="0013716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67. ¿Desglosa montos destinados a los fideicomisos públicos del municipio?</w:t>
      </w:r>
    </w:p>
    <w:p w:rsidR="00137161" w:rsidRDefault="00137161" w:rsidP="001371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El Municipio de Tonalá, Jalisco, no cuenta montos destinados a los fideicomisos públicos, pero en el Presupuesto de Egresos para el Ejercicio Fiscal del año 2017 se encuentra la partida 4600 Transferencias a fideicomisos, Mandatos y Otros Análogos que hace referencia a los fideicomisos públicos, el cual puede ser consultado directamente en:</w:t>
      </w:r>
    </w:p>
    <w:p w:rsidR="00137161" w:rsidRDefault="00137161" w:rsidP="001371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hyperlink r:id="rId6" w:history="1">
        <w:r w:rsidRPr="00D33E2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http://tonala.gob.mx/portal/wp-content/uploads/2017/01/04-Egresos-Fuente-de-Financiamiento.pdf</w:t>
        </w:r>
      </w:hyperlink>
    </w:p>
    <w:p w:rsidR="00137161" w:rsidRDefault="00137161" w:rsidP="001371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C71B91">
        <w:rPr>
          <w:rFonts w:ascii="Arial" w:eastAsiaTheme="minorHAnsi" w:hAnsi="Arial" w:cs="Arial"/>
          <w:bCs/>
          <w:color w:val="000000"/>
          <w:lang w:val="es-MX" w:eastAsia="en-US"/>
        </w:rPr>
        <w:t>O a través de 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2017- Egresos Fuentes de Financiamiento</w:t>
      </w:r>
    </w:p>
    <w:p w:rsidR="00137161" w:rsidRDefault="00137161" w:rsidP="0013716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tbl>
      <w:tblPr>
        <w:tblW w:w="103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6"/>
        <w:gridCol w:w="1772"/>
        <w:gridCol w:w="809"/>
        <w:gridCol w:w="1202"/>
        <w:gridCol w:w="898"/>
        <w:gridCol w:w="1073"/>
        <w:gridCol w:w="952"/>
        <w:gridCol w:w="833"/>
        <w:gridCol w:w="1202"/>
        <w:gridCol w:w="1024"/>
      </w:tblGrid>
      <w:tr w:rsidR="00137161" w:rsidRPr="003A36F0" w:rsidTr="00AF2B8D">
        <w:trPr>
          <w:trHeight w:val="485"/>
        </w:trPr>
        <w:tc>
          <w:tcPr>
            <w:tcW w:w="103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Presupuesto de Egresos por Clasificación por Objeto del Gasto y Fuentes de Financiamiento - 2017</w:t>
            </w:r>
          </w:p>
        </w:tc>
      </w:tr>
      <w:tr w:rsidR="00137161" w:rsidRPr="003A36F0" w:rsidTr="00AF2B8D">
        <w:trPr>
          <w:trHeight w:val="323"/>
        </w:trPr>
        <w:tc>
          <w:tcPr>
            <w:tcW w:w="2318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Municipio:  Tonalá, Jalisco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lang w:val="es-MX"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61" w:rsidRPr="003A36F0" w:rsidRDefault="00137161" w:rsidP="00AF2B8D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137161" w:rsidRPr="003A36F0" w:rsidTr="00AF2B8D">
        <w:trPr>
          <w:trHeight w:val="412"/>
        </w:trPr>
        <w:tc>
          <w:tcPr>
            <w:tcW w:w="546" w:type="dxa"/>
            <w:vMerge w:val="restart"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COG/FF</w:t>
            </w:r>
          </w:p>
        </w:tc>
        <w:tc>
          <w:tcPr>
            <w:tcW w:w="1772" w:type="dxa"/>
            <w:vMerge w:val="restart"/>
            <w:tcBorders>
              <w:top w:val="single" w:sz="4" w:space="0" w:color="DDEBF7"/>
              <w:left w:val="single" w:sz="4" w:space="0" w:color="DDEBF7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RECURSOS FISCALES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INGRESOS PROPIOS</w:t>
            </w:r>
          </w:p>
        </w:tc>
        <w:tc>
          <w:tcPr>
            <w:tcW w:w="3173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FEDERALES  </w:t>
            </w:r>
          </w:p>
        </w:tc>
        <w:tc>
          <w:tcPr>
            <w:tcW w:w="1785" w:type="dxa"/>
            <w:gridSpan w:val="2"/>
            <w:tcBorders>
              <w:top w:val="single" w:sz="4" w:space="0" w:color="DDEBF7"/>
              <w:left w:val="single" w:sz="4" w:space="0" w:color="FFFFFF"/>
              <w:bottom w:val="nil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RECURSOS ESTATALES </w:t>
            </w:r>
          </w:p>
        </w:tc>
        <w:tc>
          <w:tcPr>
            <w:tcW w:w="1202" w:type="dxa"/>
            <w:vMerge w:val="restart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OTROS RECURSOS  </w:t>
            </w:r>
          </w:p>
        </w:tc>
        <w:tc>
          <w:tcPr>
            <w:tcW w:w="1024" w:type="dxa"/>
            <w:vMerge w:val="restart"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TOTAL ANUAL </w:t>
            </w:r>
          </w:p>
        </w:tc>
      </w:tr>
      <w:tr w:rsidR="00137161" w:rsidRPr="003A36F0" w:rsidTr="00AF2B8D">
        <w:trPr>
          <w:trHeight w:val="1251"/>
        </w:trPr>
        <w:tc>
          <w:tcPr>
            <w:tcW w:w="546" w:type="dxa"/>
            <w:vMerge/>
            <w:tcBorders>
              <w:top w:val="single" w:sz="4" w:space="0" w:color="DDEBF7"/>
              <w:left w:val="single" w:sz="8" w:space="0" w:color="808080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72" w:type="dxa"/>
            <w:vMerge/>
            <w:tcBorders>
              <w:left w:val="single" w:sz="4" w:space="0" w:color="DDEBF7"/>
              <w:bottom w:val="single" w:sz="4" w:space="0" w:color="DDEBF7"/>
              <w:right w:val="single" w:sz="4" w:space="0" w:color="F2F2F2"/>
            </w:tcBorders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FONDO INFRAESTRUCTURA</w:t>
            </w:r>
          </w:p>
        </w:tc>
        <w:tc>
          <w:tcPr>
            <w:tcW w:w="8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APORTACIONES  FONDO  FORTALECIMIENTO</w:t>
            </w:r>
          </w:p>
        </w:tc>
        <w:tc>
          <w:tcPr>
            <w:tcW w:w="107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PARTICIPACIONES FEDERALES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PARTICIPACIONES ESTATALES </w:t>
            </w:r>
          </w:p>
        </w:tc>
        <w:tc>
          <w:tcPr>
            <w:tcW w:w="83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C4BF"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CONVENIOS </w:t>
            </w:r>
          </w:p>
        </w:tc>
        <w:tc>
          <w:tcPr>
            <w:tcW w:w="1202" w:type="dxa"/>
            <w:vMerge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24" w:type="dxa"/>
            <w:vMerge/>
            <w:tcBorders>
              <w:top w:val="single" w:sz="4" w:space="0" w:color="DDEBF7"/>
              <w:left w:val="single" w:sz="4" w:space="0" w:color="DDEBF7"/>
              <w:bottom w:val="nil"/>
              <w:right w:val="nil"/>
            </w:tcBorders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37161" w:rsidRPr="003A36F0" w:rsidTr="00AF2B8D">
        <w:trPr>
          <w:trHeight w:val="294"/>
        </w:trPr>
        <w:tc>
          <w:tcPr>
            <w:tcW w:w="54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4600</w:t>
            </w:r>
          </w:p>
        </w:tc>
        <w:tc>
          <w:tcPr>
            <w:tcW w:w="17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TRANSFERENCIAS A FIDEICOMISOS, MANDATOS Y OTROS ANALOGOS</w:t>
            </w: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- </w:t>
            </w:r>
          </w:p>
        </w:tc>
        <w:tc>
          <w:tcPr>
            <w:tcW w:w="8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  <w:tc>
          <w:tcPr>
            <w:tcW w:w="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FEBDF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137161" w:rsidRPr="003A36F0" w:rsidTr="00AF2B8D">
        <w:trPr>
          <w:trHeight w:val="574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Transferencias a fideicomisos del Poder Ejecutivo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137161" w:rsidRPr="003A36F0" w:rsidTr="00AF2B8D">
        <w:trPr>
          <w:trHeight w:val="677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a fideicomisos del Poder Legislativo</w:t>
            </w: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-</w:t>
            </w:r>
          </w:p>
        </w:tc>
      </w:tr>
      <w:tr w:rsidR="00137161" w:rsidRPr="003A36F0" w:rsidTr="00AF2B8D">
        <w:trPr>
          <w:trHeight w:val="691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a fideicomisos del Poder Judicial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137161" w:rsidRPr="003A36F0" w:rsidTr="00AF2B8D">
        <w:trPr>
          <w:trHeight w:val="632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37161" w:rsidRPr="003A36F0" w:rsidRDefault="0013716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Trasferencias a fideicomisos públicos de entidades paraestatales no empresariales y no financieras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137161" w:rsidRPr="003A36F0" w:rsidTr="00AF2B8D">
        <w:trPr>
          <w:trHeight w:val="677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465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a fideicomisos públicos de entidades paraestatales empresariales y no financieras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  <w:tr w:rsidR="00137161" w:rsidRPr="003A36F0" w:rsidTr="00AF2B8D">
        <w:trPr>
          <w:trHeight w:val="794"/>
        </w:trPr>
        <w:tc>
          <w:tcPr>
            <w:tcW w:w="546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37161" w:rsidRPr="003A36F0" w:rsidRDefault="00137161" w:rsidP="00AF2B8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</w:t>
            </w:r>
            <w:r w:rsidRPr="00DA048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ransferencias a fideicomisos  de  instituciones públicas financieras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-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-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-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  -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-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-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137161" w:rsidRPr="003A36F0" w:rsidRDefault="00137161" w:rsidP="00AF2B8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3A36F0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- </w:t>
            </w:r>
          </w:p>
        </w:tc>
      </w:tr>
    </w:tbl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975CD0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V inciso c) de la Ley de Transparencia y Acceso a la Información Pública del Estado de Jalisco y sus Municipios.</w:t>
      </w: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 w:rsidRPr="001A5A41">
        <w:rPr>
          <w:rFonts w:ascii="Arial" w:eastAsiaTheme="minorHAnsi" w:hAnsi="Arial" w:cs="Arial"/>
          <w:bCs/>
          <w:noProof/>
          <w:color w:val="000000" w:themeColor="text1"/>
          <w:lang w:val="es-MX"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198" o:spid="_x0000_s1026" type="#_x0000_t13" style="position:absolute;margin-left:14.25pt;margin-top:218.65pt;width:51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" adj="18265" fillcolor="#00b050" strokecolor="#385d8a" strokeweight="2pt"/>
        </w:pict>
      </w:r>
      <w:r>
        <w:rPr>
          <w:rFonts w:ascii="Arial" w:eastAsiaTheme="minorHAnsi" w:hAnsi="Arial" w:cs="Arial"/>
          <w:noProof/>
          <w:lang w:val="es-MX" w:eastAsia="es-MX"/>
        </w:rPr>
        <w:drawing>
          <wp:inline distT="0" distB="0" distL="0" distR="0">
            <wp:extent cx="6448425" cy="4390708"/>
            <wp:effectExtent l="0" t="0" r="0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57" cy="439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s-MX" w:eastAsia="en-US"/>
        </w:rPr>
      </w:pPr>
    </w:p>
    <w:p w:rsidR="00137161" w:rsidRDefault="00137161" w:rsidP="00137161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 w:rsidRPr="00717885">
        <w:rPr>
          <w:rFonts w:ascii="Arial" w:eastAsiaTheme="minorHAnsi" w:hAnsi="Arial" w:cs="Arial"/>
          <w:b/>
          <w:color w:val="000000"/>
          <w:lang w:val="es-MX" w:eastAsia="en-US"/>
        </w:rPr>
        <w:lastRenderedPageBreak/>
        <w:t>Fuente:</w:t>
      </w:r>
      <w:r>
        <w:rPr>
          <w:rFonts w:ascii="Arial" w:eastAsiaTheme="minorHAnsi" w:hAnsi="Arial" w:cs="Arial"/>
          <w:b/>
          <w:color w:val="000000"/>
          <w:lang w:val="es-MX" w:eastAsia="en-US"/>
        </w:rPr>
        <w:t xml:space="preserve"> </w:t>
      </w:r>
      <w:r w:rsidRPr="002528FC">
        <w:rPr>
          <w:rFonts w:ascii="Arial" w:eastAsiaTheme="minorHAnsi" w:hAnsi="Arial" w:cs="Arial"/>
          <w:lang w:val="es-MX" w:eastAsia="en-US"/>
        </w:rPr>
        <w:t xml:space="preserve">Presupuesto de Egresos para el Ejercicio Fiscal 2017, en el Municipio de Tonalá,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Jalisco aprobado bajo Acuerdo No. 574 por el Pleno de este H. Ayuntamiento se publicó en Gaceta </w:t>
      </w:r>
      <w:proofErr w:type="spellStart"/>
      <w:r w:rsidRPr="002528FC">
        <w:rPr>
          <w:rFonts w:ascii="Arial" w:eastAsiaTheme="minorHAnsi" w:hAnsi="Arial" w:cs="Arial"/>
          <w:lang w:val="es-MX" w:eastAsia="en-US"/>
        </w:rPr>
        <w:t>Tonallan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 de </w:t>
      </w:r>
      <w:r>
        <w:rPr>
          <w:rFonts w:ascii="Arial" w:eastAsiaTheme="minorHAnsi" w:hAnsi="Arial" w:cs="Arial"/>
          <w:lang w:val="es-MX" w:eastAsia="en-US"/>
        </w:rPr>
        <w:t>Diciembre</w:t>
      </w:r>
      <w:r w:rsidRPr="002528FC">
        <w:rPr>
          <w:rFonts w:ascii="Arial" w:eastAsiaTheme="minorHAnsi" w:hAnsi="Arial" w:cs="Arial"/>
          <w:lang w:val="es-MX" w:eastAsia="en-US"/>
        </w:rPr>
        <w:t xml:space="preserve"> 201</w:t>
      </w:r>
      <w:r>
        <w:rPr>
          <w:rFonts w:ascii="Arial" w:eastAsiaTheme="minorHAnsi" w:hAnsi="Arial" w:cs="Arial"/>
          <w:lang w:val="es-MX" w:eastAsia="en-US"/>
        </w:rPr>
        <w:t xml:space="preserve">6,  </w:t>
      </w:r>
      <w:r w:rsidRPr="00D828D1">
        <w:rPr>
          <w:rFonts w:ascii="Arial" w:eastAsiaTheme="minorHAnsi" w:hAnsi="Arial" w:cs="Arial"/>
          <w:b/>
          <w:lang w:val="es-MX" w:eastAsia="en-US"/>
        </w:rPr>
        <w:t>en el siguiente  link:</w:t>
      </w:r>
      <w:hyperlink r:id="rId9" w:history="1">
        <w:r w:rsidRPr="000F1037">
          <w:rPr>
            <w:rStyle w:val="Hipervnculo"/>
            <w:rFonts w:ascii="Arial" w:eastAsiaTheme="minorHAnsi" w:hAnsi="Arial" w:cs="Arial"/>
            <w:lang w:val="es-MX" w:eastAsia="en-US"/>
          </w:rPr>
          <w:t>http://tonala.gob.mx/portal/wp-content/uploads/2017/02/ACTAS-DE-DICIEMBRE.pdf</w:t>
        </w:r>
      </w:hyperlink>
    </w:p>
    <w:p w:rsidR="00D44C74" w:rsidRPr="00137161" w:rsidRDefault="00D44C74">
      <w:pPr>
        <w:rPr>
          <w:lang w:val="es-MX"/>
        </w:rPr>
      </w:pPr>
    </w:p>
    <w:sectPr w:rsidR="00D44C74" w:rsidRPr="00137161" w:rsidSect="00D44C7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52" w:rsidRDefault="00055A52" w:rsidP="00137161">
      <w:r>
        <w:separator/>
      </w:r>
    </w:p>
  </w:endnote>
  <w:endnote w:type="continuationSeparator" w:id="0">
    <w:p w:rsidR="00055A52" w:rsidRDefault="00055A52" w:rsidP="0013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52" w:rsidRDefault="00055A52" w:rsidP="00137161">
      <w:r>
        <w:separator/>
      </w:r>
    </w:p>
  </w:footnote>
  <w:footnote w:type="continuationSeparator" w:id="0">
    <w:p w:rsidR="00055A52" w:rsidRDefault="00055A52" w:rsidP="0013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61" w:rsidRDefault="00137161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14375" cy="1017984"/>
          <wp:effectExtent l="19050" t="0" r="9525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17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MX" w:eastAsia="es-MX"/>
      </w:rPr>
      <w:t xml:space="preserve">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476375" cy="996553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96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61"/>
    <w:rsid w:val="00055A52"/>
    <w:rsid w:val="00137161"/>
    <w:rsid w:val="002A149A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716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1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1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1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71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716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7/01/04-Egresos-Fuente-de-Financiamiento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nala.gob.mx/portal/wp-content/uploads/2017/02/ACTAS-DE-DICIEMBR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2017-09-18T15:12:00Z</dcterms:created>
  <dcterms:modified xsi:type="dcterms:W3CDTF">2017-09-18T15:14:00Z</dcterms:modified>
</cp:coreProperties>
</file>