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4" w:rsidRDefault="00D44C74"/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35. ¿Desglosa el presupuesto del Ayuntamiento por dependencia y unidad responsable?</w:t>
      </w: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Presupuesto de Egresos para el Ejercicio Fiscal del año 2017 se encuentra clasificado por unidad responsable el cual puede ser consultado directamente en:</w:t>
      </w: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r:id="rId6" w:history="1">
        <w:r>
          <w:rPr>
            <w:rStyle w:val="Hipervnculo"/>
            <w:rFonts w:ascii="Arial" w:hAnsi="Arial" w:cs="Arial"/>
          </w:rPr>
          <w:t>http://tonala.gob.mx/portal/wp-content/uploads/2017/01/06-clasificador-administrativo.pdf</w:t>
        </w:r>
      </w:hyperlink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a través de la siguiente</w:t>
      </w:r>
      <w:r>
        <w:rPr>
          <w:rFonts w:ascii="Arial" w:hAnsi="Arial" w:cs="Arial"/>
          <w:b/>
          <w:bCs/>
          <w:color w:val="000000"/>
        </w:rPr>
        <w:t xml:space="preserve"> ruta de acceso</w:t>
      </w:r>
      <w:r>
        <w:rPr>
          <w:rFonts w:ascii="Arial" w:hAnsi="Arial" w:cs="Arial"/>
          <w:bCs/>
          <w:color w:val="000000"/>
        </w:rPr>
        <w:t xml:space="preserve">: </w:t>
      </w:r>
      <w:hyperlink r:id="rId7" w:history="1">
        <w:r>
          <w:rPr>
            <w:rStyle w:val="Hipervnculo"/>
            <w:rFonts w:ascii="Arial" w:hAnsi="Arial" w:cs="Arial"/>
            <w:bCs/>
          </w:rPr>
          <w:t>http://tonala.gob.mx/portal/</w:t>
        </w:r>
      </w:hyperlink>
      <w:r>
        <w:rPr>
          <w:rFonts w:ascii="Arial" w:hAnsi="Arial" w:cs="Arial"/>
          <w:bCs/>
          <w:color w:val="000000"/>
        </w:rPr>
        <w:t xml:space="preserve"> Apartado de Transparencia- Información Fundamental- Articulo 8- Numeral 1 Fracción V- Inciso C- Presupuesto Municipal 2017- Clasificador Administrativo</w:t>
      </w: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3" o:spid="_x0000_s1026" type="#_x0000_t13" style="position:absolute;left:0;text-align:left;margin-left:-23.2pt;margin-top:219.75pt;width:65.2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" fillcolor="#00b050"/>
        </w:pict>
      </w:r>
      <w:r>
        <w:rPr>
          <w:rFonts w:ascii="Arial" w:hAnsi="Arial" w:cs="Arial"/>
          <w:noProof/>
          <w:color w:val="000000"/>
          <w:lang w:eastAsia="es-MX"/>
        </w:rPr>
        <w:drawing>
          <wp:inline distT="0" distB="0" distL="0" distR="0">
            <wp:extent cx="6105525" cy="3781425"/>
            <wp:effectExtent l="19050" t="0" r="9525" b="0"/>
            <wp:docPr id="7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pict>
          <v:shape id="AutoShape 14" o:spid="_x0000_s1027" type="#_x0000_t13" style="position:absolute;left:0;text-align:left;margin-left:-40.45pt;margin-top:260.85pt;width:65.2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" fillcolor="#00b050"/>
        </w:pict>
      </w:r>
      <w:r>
        <w:rPr>
          <w:rFonts w:ascii="Arial" w:hAnsi="Arial" w:cs="Arial"/>
          <w:noProof/>
          <w:color w:val="000000"/>
          <w:lang w:eastAsia="es-MX"/>
        </w:rPr>
        <w:drawing>
          <wp:inline distT="0" distB="0" distL="0" distR="0">
            <wp:extent cx="6105525" cy="4219575"/>
            <wp:effectExtent l="19050" t="0" r="9525" b="0"/>
            <wp:docPr id="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  <w:color w:val="000000"/>
          <w:lang w:eastAsia="es-MX"/>
        </w:rPr>
        <w:lastRenderedPageBreak/>
        <w:drawing>
          <wp:inline distT="0" distB="0" distL="0" distR="0">
            <wp:extent cx="5362575" cy="4076700"/>
            <wp:effectExtent l="19050" t="0" r="9525" b="0"/>
            <wp:docPr id="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07" t="466" r="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  <w:color w:val="000000"/>
          <w:lang w:eastAsia="es-MX"/>
        </w:rPr>
        <w:drawing>
          <wp:inline distT="0" distB="0" distL="0" distR="0">
            <wp:extent cx="5429250" cy="3133725"/>
            <wp:effectExtent l="19050" t="0" r="0" b="0"/>
            <wp:docPr id="1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669" t="1497" r="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Fundamentación:</w:t>
      </w:r>
      <w:r>
        <w:rPr>
          <w:rFonts w:ascii="Arial" w:hAnsi="Arial" w:cs="Arial"/>
        </w:rPr>
        <w:t xml:space="preserve"> Artículo  46 Fracción II Inciso b) y Artículo 61 Fracción II Inciso c) de la Ley General de Contabilidad Gubernamental y Clasificador Administrativa emitido por el Consejo Nacional de Armonización Contable (CONAC) publicado en el Diario Oficial de la Federación el día 31 de Diciembre de 2008.</w:t>
      </w:r>
    </w:p>
    <w:p w:rsidR="00702214" w:rsidRDefault="00702214" w:rsidP="00702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Fuente: </w:t>
      </w:r>
      <w:r>
        <w:rPr>
          <w:rFonts w:ascii="Arial" w:hAnsi="Arial" w:cs="Arial"/>
        </w:rPr>
        <w:t>El Presupuesto de Egresos para el Ejercicio Fiscal 2017, publicado en el sitio oficial del Municipio de Tonalá</w:t>
      </w:r>
    </w:p>
    <w:p w:rsidR="00702214" w:rsidRDefault="00702214"/>
    <w:sectPr w:rsidR="00702214" w:rsidSect="00D44C74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95" w:rsidRDefault="00F11B95" w:rsidP="00702214">
      <w:pPr>
        <w:spacing w:after="0" w:line="240" w:lineRule="auto"/>
      </w:pPr>
      <w:r>
        <w:separator/>
      </w:r>
    </w:p>
  </w:endnote>
  <w:endnote w:type="continuationSeparator" w:id="0">
    <w:p w:rsidR="00F11B95" w:rsidRDefault="00F11B95" w:rsidP="007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95" w:rsidRDefault="00F11B95" w:rsidP="00702214">
      <w:pPr>
        <w:spacing w:after="0" w:line="240" w:lineRule="auto"/>
      </w:pPr>
      <w:r>
        <w:separator/>
      </w:r>
    </w:p>
  </w:footnote>
  <w:footnote w:type="continuationSeparator" w:id="0">
    <w:p w:rsidR="00F11B95" w:rsidRDefault="00F11B95" w:rsidP="0070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14" w:rsidRDefault="00702214">
    <w:pPr>
      <w:pStyle w:val="Encabezado"/>
    </w:pPr>
    <w:r>
      <w:rPr>
        <w:noProof/>
        <w:lang w:eastAsia="es-MX"/>
      </w:rPr>
      <w:drawing>
        <wp:inline distT="0" distB="0" distL="0" distR="0">
          <wp:extent cx="733425" cy="1045131"/>
          <wp:effectExtent l="19050" t="0" r="9525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45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MX"/>
      </w:rPr>
      <w:t xml:space="preserve">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552575" cy="1047988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214"/>
    <w:rsid w:val="006016CF"/>
    <w:rsid w:val="00702214"/>
    <w:rsid w:val="00D44C74"/>
    <w:rsid w:val="00F1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2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2214"/>
  </w:style>
  <w:style w:type="paragraph" w:styleId="Piedepgina">
    <w:name w:val="footer"/>
    <w:basedOn w:val="Normal"/>
    <w:link w:val="PiedepginaCar"/>
    <w:uiPriority w:val="99"/>
    <w:semiHidden/>
    <w:unhideWhenUsed/>
    <w:rsid w:val="00702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214"/>
  </w:style>
  <w:style w:type="paragraph" w:styleId="Textodeglobo">
    <w:name w:val="Balloon Text"/>
    <w:basedOn w:val="Normal"/>
    <w:link w:val="TextodegloboCar"/>
    <w:uiPriority w:val="99"/>
    <w:semiHidden/>
    <w:unhideWhenUsed/>
    <w:rsid w:val="0070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2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7/01/06-clasificador-administrativo.pdf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2017-09-06T18:01:00Z</dcterms:created>
  <dcterms:modified xsi:type="dcterms:W3CDTF">2017-09-06T18:08:00Z</dcterms:modified>
</cp:coreProperties>
</file>