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74" w:rsidRDefault="00D44C74"/>
    <w:p w:rsidR="00DB2C23" w:rsidRDefault="00DB2C23" w:rsidP="00DB2C23">
      <w:pPr>
        <w:autoSpaceDE w:val="0"/>
        <w:autoSpaceDN w:val="0"/>
        <w:adjustRightInd w:val="0"/>
        <w:rPr>
          <w:rFonts w:ascii="Arial" w:hAnsi="Arial" w:cs="Arial"/>
          <w:b/>
          <w:bCs/>
        </w:rPr>
      </w:pPr>
      <w:r>
        <w:rPr>
          <w:rFonts w:ascii="Arial" w:hAnsi="Arial" w:cs="Arial"/>
          <w:b/>
          <w:bCs/>
        </w:rPr>
        <w:t>22. ¿En la ley de ingresos se desglosa el total de ingresos por concepto de venta de bienes y servicios a tercer nivel (rubro, tipo y clase)?</w:t>
      </w:r>
    </w:p>
    <w:p w:rsidR="00DB2C23" w:rsidRDefault="00DB2C23" w:rsidP="00DB2C23">
      <w:pPr>
        <w:autoSpaceDE w:val="0"/>
        <w:autoSpaceDN w:val="0"/>
        <w:adjustRightInd w:val="0"/>
        <w:jc w:val="both"/>
        <w:rPr>
          <w:rFonts w:ascii="Arial" w:hAnsi="Arial" w:cs="Arial"/>
          <w:color w:val="000000"/>
        </w:rPr>
      </w:pPr>
      <w:r>
        <w:rPr>
          <w:rFonts w:ascii="Arial" w:hAnsi="Arial" w:cs="Arial"/>
          <w:color w:val="000000"/>
        </w:rPr>
        <w:t>La Ley de Ingresos del Municipio de Tonalá para el Ejercicio Fiscal 2017 no desglosa el total de ingresos por concepto de venta de bienes y servicios a tercer nivel (rubro, tipo y clase, debido a que el Municipio no cuenta con ingresos por este rubro, lo cual se puede verificar en la Ley de Ingresos del Municipio de Tonalá para el Ejercicio Fiscal del año 2017, esta puede ser consultada directamente en:</w:t>
      </w:r>
    </w:p>
    <w:p w:rsidR="00DB2C23" w:rsidRDefault="00DB2C23" w:rsidP="00DB2C23">
      <w:pPr>
        <w:autoSpaceDE w:val="0"/>
        <w:autoSpaceDN w:val="0"/>
        <w:adjustRightInd w:val="0"/>
        <w:rPr>
          <w:rFonts w:ascii="Arial" w:hAnsi="Arial" w:cs="Arial"/>
        </w:rPr>
      </w:pPr>
      <w:hyperlink r:id="rId6" w:history="1">
        <w:r>
          <w:rPr>
            <w:rStyle w:val="Hipervnculo"/>
            <w:rFonts w:ascii="Arial" w:hAnsi="Arial" w:cs="Arial"/>
          </w:rPr>
          <w:t>http://tonala.gob.mx/portal/wp-content/uploads/2017/01/Ley_Ingresos_Tonala_2017.pdf</w:t>
        </w:r>
      </w:hyperlink>
    </w:p>
    <w:p w:rsidR="00DB2C23" w:rsidRDefault="00DB2C23" w:rsidP="00DB2C23">
      <w:pPr>
        <w:autoSpaceDE w:val="0"/>
        <w:autoSpaceDN w:val="0"/>
        <w:adjustRightInd w:val="0"/>
        <w:rPr>
          <w:rFonts w:ascii="Arial" w:eastAsia="Times New Roman" w:hAnsi="Arial" w:cs="Arial"/>
          <w:color w:val="000000" w:themeColor="text1"/>
          <w:bdr w:val="none" w:sz="0" w:space="0" w:color="auto" w:frame="1"/>
          <w:shd w:val="clear" w:color="auto" w:fill="FFFFFF"/>
          <w:lang w:val="es-ES" w:eastAsia="es-ES"/>
        </w:rPr>
      </w:pPr>
      <w:r>
        <w:rPr>
          <w:rFonts w:ascii="Arial" w:hAnsi="Arial" w:cs="Arial"/>
        </w:rPr>
        <w:t xml:space="preserve">O a través de la siguiente </w:t>
      </w:r>
      <w:r>
        <w:rPr>
          <w:rFonts w:ascii="Arial" w:hAnsi="Arial" w:cs="Arial"/>
          <w:b/>
        </w:rPr>
        <w:t>R</w:t>
      </w:r>
      <w:r>
        <w:rPr>
          <w:rFonts w:ascii="Arial" w:hAnsi="Arial" w:cs="Arial"/>
          <w:b/>
          <w:bCs/>
        </w:rPr>
        <w:t xml:space="preserve">uta de acceso: </w:t>
      </w:r>
      <w:hyperlink r:id="rId7" w:history="1">
        <w:r>
          <w:rPr>
            <w:rStyle w:val="Hipervnculo"/>
            <w:rFonts w:ascii="Arial" w:hAnsi="Arial" w:cs="Arial"/>
            <w:bCs/>
          </w:rPr>
          <w:t>http://tonala.gob.mx/portal/</w:t>
        </w:r>
      </w:hyperlink>
      <w:r>
        <w:rPr>
          <w:rFonts w:ascii="Arial" w:hAnsi="Arial" w:cs="Arial"/>
          <w:bCs/>
        </w:rPr>
        <w:t xml:space="preserve">  Apartado de Transparencia- Leyes y Reglamentos- Leyes Municipales-  </w:t>
      </w:r>
      <w:hyperlink r:id="rId8" w:history="1">
        <w:r>
          <w:rPr>
            <w:rStyle w:val="Hipervnculo"/>
            <w:rFonts w:ascii="Arial" w:hAnsi="Arial" w:cs="Arial"/>
            <w:color w:val="000000" w:themeColor="text1"/>
            <w:bdr w:val="none" w:sz="0" w:space="0" w:color="auto" w:frame="1"/>
            <w:shd w:val="clear" w:color="auto" w:fill="FFFFFF"/>
          </w:rPr>
          <w:t>Ley de ingresos del municipio de Tonalá Jalisco, 2017</w:t>
        </w:r>
      </w:hyperlink>
    </w:p>
    <w:p w:rsidR="00DB2C23" w:rsidRDefault="00DB2C23" w:rsidP="00DB2C23">
      <w:pPr>
        <w:autoSpaceDE w:val="0"/>
        <w:autoSpaceDN w:val="0"/>
        <w:adjustRightInd w:val="0"/>
        <w:rPr>
          <w:rFonts w:ascii="Arial" w:hAnsi="Arial" w:cs="Arial"/>
        </w:rPr>
      </w:pPr>
    </w:p>
    <w:p w:rsidR="00DB2C23" w:rsidRDefault="00DB2C23" w:rsidP="00DB2C23">
      <w:pPr>
        <w:autoSpaceDE w:val="0"/>
        <w:autoSpaceDN w:val="0"/>
        <w:adjustRightInd w:val="0"/>
        <w:jc w:val="center"/>
        <w:rPr>
          <w:rFonts w:ascii="Arial" w:hAnsi="Arial" w:cs="Arial"/>
        </w:rPr>
      </w:pPr>
      <w:r>
        <w:rPr>
          <w:rFonts w:ascii="Arial" w:hAnsi="Arial" w:cs="Arial"/>
          <w:noProof/>
          <w:lang w:eastAsia="es-MX"/>
        </w:rPr>
        <w:drawing>
          <wp:inline distT="0" distB="0" distL="0" distR="0">
            <wp:extent cx="5419725" cy="3038475"/>
            <wp:effectExtent l="19050" t="0" r="9525" b="0"/>
            <wp:docPr id="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9" cstate="print"/>
                    <a:srcRect l="3271" r="8099"/>
                    <a:stretch>
                      <a:fillRect/>
                    </a:stretch>
                  </pic:blipFill>
                  <pic:spPr bwMode="auto">
                    <a:xfrm>
                      <a:off x="0" y="0"/>
                      <a:ext cx="5419725" cy="3038475"/>
                    </a:xfrm>
                    <a:prstGeom prst="rect">
                      <a:avLst/>
                    </a:prstGeom>
                    <a:noFill/>
                    <a:ln w="9525">
                      <a:noFill/>
                      <a:miter lim="800000"/>
                      <a:headEnd/>
                      <a:tailEnd/>
                    </a:ln>
                  </pic:spPr>
                </pic:pic>
              </a:graphicData>
            </a:graphic>
          </wp:inline>
        </w:drawing>
      </w:r>
    </w:p>
    <w:p w:rsidR="00DB2C23" w:rsidRDefault="00DB2C23" w:rsidP="00DB2C23">
      <w:pPr>
        <w:autoSpaceDE w:val="0"/>
        <w:autoSpaceDN w:val="0"/>
        <w:adjustRightInd w:val="0"/>
        <w:rPr>
          <w:rFonts w:ascii="Arial" w:hAnsi="Arial" w:cs="Arial"/>
        </w:rPr>
      </w:pPr>
    </w:p>
    <w:p w:rsidR="00DB2C23" w:rsidRDefault="00DB2C23" w:rsidP="00DB2C23">
      <w:pPr>
        <w:autoSpaceDE w:val="0"/>
        <w:autoSpaceDN w:val="0"/>
        <w:adjustRightInd w:val="0"/>
        <w:rPr>
          <w:rFonts w:ascii="Arial" w:hAnsi="Arial" w:cs="Arial"/>
        </w:rPr>
      </w:pPr>
    </w:p>
    <w:p w:rsidR="00DB2C23" w:rsidRDefault="00DB2C23" w:rsidP="00DB2C23">
      <w:pPr>
        <w:autoSpaceDE w:val="0"/>
        <w:autoSpaceDN w:val="0"/>
        <w:adjustRightInd w:val="0"/>
        <w:rPr>
          <w:rFonts w:ascii="Arial" w:hAnsi="Arial" w:cs="Arial"/>
        </w:rPr>
      </w:pPr>
    </w:p>
    <w:p w:rsidR="00DB2C23" w:rsidRDefault="00DB2C23" w:rsidP="00DB2C23">
      <w:pPr>
        <w:autoSpaceDE w:val="0"/>
        <w:autoSpaceDN w:val="0"/>
        <w:adjustRightInd w:val="0"/>
        <w:rPr>
          <w:rFonts w:ascii="Arial" w:hAnsi="Arial" w:cs="Arial"/>
        </w:rPr>
      </w:pPr>
    </w:p>
    <w:p w:rsidR="00DB2C23" w:rsidRDefault="00DB2C23" w:rsidP="00DB2C23">
      <w:pPr>
        <w:autoSpaceDE w:val="0"/>
        <w:autoSpaceDN w:val="0"/>
        <w:adjustRightInd w:val="0"/>
        <w:rPr>
          <w:rFonts w:ascii="Arial" w:hAnsi="Arial" w:cs="Arial"/>
        </w:rPr>
      </w:pPr>
      <w:r>
        <w:rPr>
          <w:rFonts w:ascii="Arial" w:hAnsi="Arial" w:cs="Arial"/>
          <w:b/>
          <w:bCs/>
        </w:rPr>
        <w:lastRenderedPageBreak/>
        <w:t xml:space="preserve">Fundamentación: </w:t>
      </w:r>
      <w:r>
        <w:rPr>
          <w:rFonts w:ascii="Arial" w:hAnsi="Arial" w:cs="Arial"/>
        </w:rPr>
        <w:t>Artículo 1 de la Ley de Ingresos del Municipio de Tonalá, Jalisco para el Ejercicio Fiscal del año 2017.</w:t>
      </w:r>
    </w:p>
    <w:p w:rsidR="00DB2C23" w:rsidRDefault="00DB2C23" w:rsidP="00DB2C23">
      <w:pPr>
        <w:autoSpaceDE w:val="0"/>
        <w:autoSpaceDN w:val="0"/>
        <w:adjustRightInd w:val="0"/>
        <w:rPr>
          <w:rFonts w:ascii="Arial" w:hAnsi="Arial" w:cs="Arial"/>
        </w:rPr>
      </w:pPr>
    </w:p>
    <w:p w:rsidR="00DB2C23" w:rsidRDefault="00DB2C23" w:rsidP="00DB2C23">
      <w:pPr>
        <w:autoSpaceDE w:val="0"/>
        <w:autoSpaceDN w:val="0"/>
        <w:adjustRightInd w:val="0"/>
        <w:rPr>
          <w:rFonts w:ascii="Arial" w:eastAsia="Times New Roman" w:hAnsi="Arial" w:cs="Arial"/>
          <w:lang w:val="es-ES" w:eastAsia="es-ES"/>
        </w:rPr>
      </w:pPr>
      <w:r>
        <w:rPr>
          <w:rFonts w:ascii="Arial" w:hAnsi="Arial" w:cs="Arial"/>
          <w:b/>
        </w:rPr>
        <w:t xml:space="preserve">Fuente: </w:t>
      </w:r>
      <w:r>
        <w:rPr>
          <w:rFonts w:ascii="Arial" w:hAnsi="Arial" w:cs="Arial"/>
          <w:color w:val="000000"/>
        </w:rPr>
        <w:t>La Ley de Ingresos del Municipio de Tonalá, Jalisco para el Ejercicio Fiscal 2017 fue aprobada por el Congreso del Estado de Jalisco el día 30 Noviembre 2016 y publicada en el Periódico Oficial El Estado de Jalisco el día 17 de diciembre 2016 mediante Decreto número</w:t>
      </w:r>
      <w:r>
        <w:rPr>
          <w:rFonts w:ascii="Arial" w:hAnsi="Arial" w:cs="Arial"/>
        </w:rPr>
        <w:t xml:space="preserve"> 26120/LXI/16.</w:t>
      </w:r>
    </w:p>
    <w:p w:rsidR="00DB2C23" w:rsidRPr="00DB2C23" w:rsidRDefault="00DB2C23">
      <w:pPr>
        <w:rPr>
          <w:lang w:val="es-ES"/>
        </w:rPr>
      </w:pPr>
    </w:p>
    <w:sectPr w:rsidR="00DB2C23" w:rsidRPr="00DB2C23" w:rsidSect="00D44C74">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C25" w:rsidRDefault="002A1C25" w:rsidP="00DB2C23">
      <w:pPr>
        <w:spacing w:after="0" w:line="240" w:lineRule="auto"/>
      </w:pPr>
      <w:r>
        <w:separator/>
      </w:r>
    </w:p>
  </w:endnote>
  <w:endnote w:type="continuationSeparator" w:id="0">
    <w:p w:rsidR="002A1C25" w:rsidRDefault="002A1C25" w:rsidP="00DB2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C25" w:rsidRDefault="002A1C25" w:rsidP="00DB2C23">
      <w:pPr>
        <w:spacing w:after="0" w:line="240" w:lineRule="auto"/>
      </w:pPr>
      <w:r>
        <w:separator/>
      </w:r>
    </w:p>
  </w:footnote>
  <w:footnote w:type="continuationSeparator" w:id="0">
    <w:p w:rsidR="002A1C25" w:rsidRDefault="002A1C25" w:rsidP="00DB2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23" w:rsidRDefault="00DB2C23">
    <w:pPr>
      <w:pStyle w:val="Encabezado"/>
    </w:pPr>
    <w:r>
      <w:rPr>
        <w:noProof/>
        <w:lang w:eastAsia="es-MX"/>
      </w:rPr>
      <w:drawing>
        <wp:inline distT="0" distB="0" distL="0" distR="0">
          <wp:extent cx="704850" cy="1004411"/>
          <wp:effectExtent l="19050" t="0" r="0" b="0"/>
          <wp:docPr id="1" name="Imagen 1" descr="400px-Escudo_de_Ton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Escudo_de_Tonala.svg"/>
                  <pic:cNvPicPr>
                    <a:picLocks noChangeAspect="1" noChangeArrowheads="1"/>
                  </pic:cNvPicPr>
                </pic:nvPicPr>
                <pic:blipFill>
                  <a:blip r:embed="rId1"/>
                  <a:srcRect/>
                  <a:stretch>
                    <a:fillRect/>
                  </a:stretch>
                </pic:blipFill>
                <pic:spPr bwMode="auto">
                  <a:xfrm>
                    <a:off x="0" y="0"/>
                    <a:ext cx="704850" cy="1004411"/>
                  </a:xfrm>
                  <a:prstGeom prst="rect">
                    <a:avLst/>
                  </a:prstGeom>
                  <a:noFill/>
                  <a:ln w="9525">
                    <a:noFill/>
                    <a:miter lim="800000"/>
                    <a:headEnd/>
                    <a:tailEnd/>
                  </a:ln>
                </pic:spPr>
              </pic:pic>
            </a:graphicData>
          </a:graphic>
        </wp:inline>
      </w:drawing>
    </w:r>
    <w:r>
      <w:t xml:space="preserve">  </w:t>
    </w:r>
    <w:r>
      <w:rPr>
        <w:noProof/>
        <w:lang w:eastAsia="es-MX"/>
      </w:rPr>
      <w:t xml:space="preserve">                                                                                                      </w:t>
    </w:r>
    <w:r>
      <w:rPr>
        <w:noProof/>
        <w:lang w:eastAsia="es-MX"/>
      </w:rPr>
      <w:drawing>
        <wp:inline distT="0" distB="0" distL="0" distR="0">
          <wp:extent cx="1476375" cy="996553"/>
          <wp:effectExtent l="0" t="0" r="0" b="0"/>
          <wp:docPr id="4" name="Imagen 4" descr="Gobierno de Ton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Tonalá"/>
                  <pic:cNvPicPr>
                    <a:picLocks noChangeAspect="1" noChangeArrowheads="1"/>
                  </pic:cNvPicPr>
                </pic:nvPicPr>
                <pic:blipFill>
                  <a:blip r:embed="rId2"/>
                  <a:srcRect/>
                  <a:stretch>
                    <a:fillRect/>
                  </a:stretch>
                </pic:blipFill>
                <pic:spPr bwMode="auto">
                  <a:xfrm>
                    <a:off x="0" y="0"/>
                    <a:ext cx="1476375" cy="99655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DB2C23"/>
    <w:rsid w:val="0018608E"/>
    <w:rsid w:val="002A1C25"/>
    <w:rsid w:val="00D44C74"/>
    <w:rsid w:val="00DB2C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B2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2C23"/>
  </w:style>
  <w:style w:type="paragraph" w:styleId="Piedepgina">
    <w:name w:val="footer"/>
    <w:basedOn w:val="Normal"/>
    <w:link w:val="PiedepginaCar"/>
    <w:uiPriority w:val="99"/>
    <w:semiHidden/>
    <w:unhideWhenUsed/>
    <w:rsid w:val="00DB2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B2C23"/>
  </w:style>
  <w:style w:type="paragraph" w:styleId="Textodeglobo">
    <w:name w:val="Balloon Text"/>
    <w:basedOn w:val="Normal"/>
    <w:link w:val="TextodegloboCar"/>
    <w:uiPriority w:val="99"/>
    <w:semiHidden/>
    <w:unhideWhenUsed/>
    <w:rsid w:val="00DB2C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C23"/>
    <w:rPr>
      <w:rFonts w:ascii="Tahoma" w:hAnsi="Tahoma" w:cs="Tahoma"/>
      <w:sz w:val="16"/>
      <w:szCs w:val="16"/>
    </w:rPr>
  </w:style>
  <w:style w:type="character" w:styleId="Hipervnculo">
    <w:name w:val="Hyperlink"/>
    <w:basedOn w:val="Fuentedeprrafopredeter"/>
    <w:uiPriority w:val="99"/>
    <w:semiHidden/>
    <w:unhideWhenUsed/>
    <w:rsid w:val="00DB2C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30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nala.gob.mx/portal/wp-content/uploads/2017/01/Ley_Ingresos_Tonala_2017.pdf" TargetMode="External"/><Relationship Id="rId3" Type="http://schemas.openxmlformats.org/officeDocument/2006/relationships/webSettings" Target="webSettings.xml"/><Relationship Id="rId7" Type="http://schemas.openxmlformats.org/officeDocument/2006/relationships/hyperlink" Target="http://tonala.gob.mx/port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nala.gob.mx/portal/wp-content/uploads/2017/01/Ley_Ingresos_Tonala_2017.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1264</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2017-09-06T16:15:00Z</dcterms:created>
  <dcterms:modified xsi:type="dcterms:W3CDTF">2017-09-06T16:17:00Z</dcterms:modified>
</cp:coreProperties>
</file>